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EB814">
      <w:pPr>
        <w:pStyle w:val="3"/>
        <w:spacing w:before="0" w:after="0" w:line="360" w:lineRule="auto"/>
        <w:jc w:val="center"/>
        <w:rPr>
          <w:rFonts w:hint="eastAsia" w:ascii="黑体" w:hAnsi="黑体" w:eastAsia="黑体"/>
          <w:sz w:val="24"/>
          <w:szCs w:val="28"/>
        </w:rPr>
      </w:pPr>
      <w:r>
        <w:rPr>
          <w:rFonts w:hint="eastAsia" w:ascii="黑体" w:hAnsi="黑体" w:eastAsia="黑体"/>
          <w:sz w:val="24"/>
          <w:szCs w:val="28"/>
        </w:rPr>
        <w:t>外语学院推荐优秀应届本科毕业生免试攻读硕士学位研究生</w:t>
      </w:r>
    </w:p>
    <w:p w14:paraId="04A8C411">
      <w:pPr>
        <w:pStyle w:val="3"/>
        <w:spacing w:before="0" w:after="0" w:line="360" w:lineRule="auto"/>
        <w:jc w:val="center"/>
        <w:rPr>
          <w:rFonts w:hint="eastAsia" w:ascii="黑体" w:hAnsi="黑体" w:eastAsia="黑体"/>
          <w:sz w:val="24"/>
          <w:szCs w:val="28"/>
        </w:rPr>
      </w:pPr>
      <w:r>
        <w:rPr>
          <w:rFonts w:hint="eastAsia" w:ascii="黑体" w:hAnsi="黑体" w:eastAsia="黑体"/>
          <w:sz w:val="24"/>
          <w:szCs w:val="28"/>
        </w:rPr>
        <w:t>综合成绩计算办法（试行）</w:t>
      </w:r>
    </w:p>
    <w:p w14:paraId="597669C2">
      <w:pPr>
        <w:spacing w:line="360" w:lineRule="auto"/>
        <w:rPr>
          <w:rFonts w:hint="eastAsia"/>
          <w:sz w:val="24"/>
        </w:rPr>
      </w:pPr>
    </w:p>
    <w:p w14:paraId="2EC4306A">
      <w:pPr>
        <w:adjustRightInd w:val="0"/>
        <w:spacing w:line="360" w:lineRule="auto"/>
        <w:ind w:left="105" w:leftChars="50" w:firstLine="419"/>
        <w:rPr>
          <w:rFonts w:hint="eastAsia" w:eastAsia="宋体"/>
          <w:sz w:val="24"/>
          <w:szCs w:val="24"/>
        </w:rPr>
      </w:pPr>
      <w:r>
        <w:rPr>
          <w:rFonts w:hint="eastAsia" w:eastAsia="宋体"/>
          <w:sz w:val="24"/>
          <w:szCs w:val="24"/>
        </w:rPr>
        <w:t>根据《中南民族大学推荐优秀应届本科毕业生免试攻读硕士学位研究生工作管理办法（修订）》</w:t>
      </w:r>
      <w:r>
        <w:rPr>
          <w:rFonts w:ascii="仿宋" w:hAnsi="仿宋" w:eastAsia="宋体"/>
          <w:sz w:val="24"/>
        </w:rPr>
        <w:t>（民大教学 〔2024〕</w:t>
      </w:r>
      <w:r>
        <w:rPr>
          <w:rFonts w:hint="eastAsia" w:ascii="仿宋" w:hAnsi="仿宋" w:eastAsia="宋体"/>
          <w:sz w:val="24"/>
        </w:rPr>
        <w:t>49</w:t>
      </w:r>
      <w:r>
        <w:rPr>
          <w:rFonts w:ascii="仿宋" w:hAnsi="仿宋" w:eastAsia="宋体"/>
          <w:sz w:val="24"/>
        </w:rPr>
        <w:t>号）</w:t>
      </w:r>
      <w:r>
        <w:rPr>
          <w:rFonts w:hint="eastAsia" w:ascii="仿宋" w:hAnsi="仿宋" w:eastAsia="宋体"/>
          <w:sz w:val="24"/>
        </w:rPr>
        <w:t>要求，结合学院实际，特制订</w:t>
      </w:r>
      <w:r>
        <w:rPr>
          <w:rFonts w:hint="eastAsia" w:eastAsia="宋体"/>
          <w:sz w:val="24"/>
          <w:szCs w:val="24"/>
        </w:rPr>
        <w:t>外语学院推荐优秀应届本科毕业生免试攻读硕士学位研究生综合成绩计算办法。</w:t>
      </w:r>
    </w:p>
    <w:p w14:paraId="37820C6E">
      <w:pPr>
        <w:adjustRightInd w:val="0"/>
        <w:spacing w:line="360" w:lineRule="auto"/>
        <w:ind w:left="105" w:leftChars="50" w:firstLine="419"/>
        <w:rPr>
          <w:rFonts w:hint="eastAsia" w:eastAsia="宋体"/>
          <w:sz w:val="24"/>
          <w:szCs w:val="24"/>
        </w:rPr>
      </w:pPr>
      <w:r>
        <w:rPr>
          <w:rFonts w:hint="eastAsia" w:eastAsia="宋体"/>
          <w:sz w:val="24"/>
          <w:szCs w:val="24"/>
        </w:rPr>
        <w:t>综合成绩由学生的学业成绩、奖励分成绩和综合测评成绩组成，计算公式为：综合成绩=学业成绩x85%+奖励分成绩x8%+综合测评成绩x7%。</w:t>
      </w:r>
    </w:p>
    <w:p w14:paraId="13239B1A">
      <w:pPr>
        <w:adjustRightInd w:val="0"/>
        <w:spacing w:line="360" w:lineRule="auto"/>
        <w:ind w:left="105" w:leftChars="50" w:firstLine="420"/>
        <w:rPr>
          <w:rFonts w:hint="eastAsia" w:eastAsia="宋体"/>
          <w:sz w:val="24"/>
          <w:szCs w:val="24"/>
        </w:rPr>
      </w:pPr>
      <w:r>
        <w:rPr>
          <w:rFonts w:hint="eastAsia" w:eastAsia="宋体"/>
          <w:sz w:val="24"/>
          <w:szCs w:val="24"/>
        </w:rPr>
        <w:t>1.学业成绩为学生培养方案有学分要求的所有已修课程的平均成绩，换算公式为:学业成绩=50+平均学分绩点(GPA)x10。</w:t>
      </w:r>
    </w:p>
    <w:p w14:paraId="5801DE54">
      <w:pPr>
        <w:widowControl/>
        <w:adjustRightInd w:val="0"/>
        <w:spacing w:line="360" w:lineRule="auto"/>
        <w:ind w:left="105" w:leftChars="50" w:firstLine="480" w:firstLineChars="200"/>
        <w:jc w:val="left"/>
        <w:rPr>
          <w:rFonts w:hint="eastAsia" w:eastAsia="宋体"/>
          <w:sz w:val="24"/>
          <w:szCs w:val="24"/>
        </w:rPr>
      </w:pPr>
      <w:r>
        <w:rPr>
          <w:rFonts w:hint="eastAsia" w:eastAsia="宋体"/>
          <w:sz w:val="24"/>
          <w:szCs w:val="24"/>
        </w:rPr>
        <w:t>2.</w:t>
      </w:r>
      <w:r>
        <w:rPr>
          <w:rFonts w:hint="eastAsia" w:eastAsia="宋体" w:asciiTheme="minorEastAsia" w:hAnsiTheme="minorEastAsia"/>
          <w:sz w:val="24"/>
          <w:szCs w:val="24"/>
        </w:rPr>
        <w:t>奖励分成绩总分为100分，换算公式为：奖励分成绩=奖励分之和÷15×100。</w:t>
      </w:r>
      <w:r>
        <w:rPr>
          <w:rFonts w:hint="eastAsia" w:eastAsia="宋体"/>
          <w:sz w:val="24"/>
          <w:szCs w:val="24"/>
        </w:rPr>
        <w:t>奖励分为学生获得各级表彰、创新创业类竞赛奖项、公开发表学科相关学术论文、参军入伍、赴国际组织实习、发明专利等，按照学校标准核算分值，各类奖励分累计不超过 15 分。由外语学院推免工作小组组织专家进行奖励分专家审核答辩会，对学生奖励分涉及内容进行审核鉴定。</w:t>
      </w:r>
    </w:p>
    <w:p w14:paraId="5ABB2AF5">
      <w:pPr>
        <w:adjustRightInd w:val="0"/>
        <w:spacing w:line="360" w:lineRule="auto"/>
        <w:ind w:left="105" w:leftChars="50" w:firstLine="420"/>
        <w:rPr>
          <w:rFonts w:hint="eastAsia" w:eastAsia="宋体"/>
          <w:sz w:val="24"/>
          <w:szCs w:val="24"/>
        </w:rPr>
      </w:pPr>
      <w:r>
        <w:rPr>
          <w:rFonts w:hint="eastAsia" w:eastAsia="宋体"/>
          <w:sz w:val="24"/>
          <w:szCs w:val="24"/>
        </w:rPr>
        <w:t>3.综合测评成绩总分为100分，综合测评成绩由学院推免工作小组组织专家进行综合测评，综合测评采用面试形式，按专家评分的平均值计算。综合测评包含政治思想素质（包括政治学习、思想品德修养、参加集体活动表现等）、专业素质（包括专业基础和创新创业能力）、科研素质（包括科研基础和科研潜力）、身心素质（包括身体素质、心理素质）等四个环节，每个环节权重系数为25%。</w:t>
      </w:r>
    </w:p>
    <w:p w14:paraId="596BEF2A">
      <w:pPr>
        <w:adjustRightInd w:val="0"/>
        <w:spacing w:line="360" w:lineRule="auto"/>
        <w:ind w:left="105" w:leftChars="50" w:firstLine="420"/>
        <w:rPr>
          <w:rFonts w:hint="eastAsia" w:eastAsia="宋体"/>
          <w:sz w:val="24"/>
          <w:szCs w:val="24"/>
        </w:rPr>
      </w:pPr>
      <w:r>
        <w:rPr>
          <w:rFonts w:hint="eastAsia" w:eastAsia="宋体"/>
          <w:sz w:val="24"/>
          <w:szCs w:val="24"/>
        </w:rPr>
        <w:t>本办法自公布之日起执行，如学校有最新规定或要求，按照学校最新要求执行。</w:t>
      </w:r>
    </w:p>
    <w:p w14:paraId="1CC30942">
      <w:pPr>
        <w:adjustRightInd w:val="0"/>
        <w:spacing w:line="360" w:lineRule="auto"/>
        <w:ind w:left="105" w:leftChars="50" w:firstLine="420"/>
        <w:rPr>
          <w:rFonts w:hint="eastAsia" w:eastAsia="宋体"/>
          <w:sz w:val="24"/>
          <w:szCs w:val="24"/>
        </w:rPr>
      </w:pPr>
      <w:bookmarkStart w:id="0" w:name="_GoBack"/>
      <w:bookmarkEnd w:id="0"/>
    </w:p>
    <w:p w14:paraId="0146EB24">
      <w:pPr>
        <w:adjustRightInd w:val="0"/>
        <w:spacing w:line="360" w:lineRule="auto"/>
        <w:ind w:left="105" w:leftChars="50" w:right="480" w:firstLine="420"/>
        <w:jc w:val="right"/>
        <w:rPr>
          <w:rFonts w:hint="eastAsia" w:eastAsia="宋体"/>
          <w:sz w:val="24"/>
          <w:szCs w:val="24"/>
        </w:rPr>
      </w:pPr>
      <w:r>
        <w:rPr>
          <w:rFonts w:hint="eastAsia" w:eastAsia="宋体"/>
          <w:sz w:val="24"/>
          <w:szCs w:val="24"/>
        </w:rPr>
        <w:t>外语学院</w:t>
      </w:r>
    </w:p>
    <w:p w14:paraId="18B78678">
      <w:pPr>
        <w:adjustRightInd w:val="0"/>
        <w:spacing w:line="360" w:lineRule="auto"/>
        <w:ind w:left="105" w:leftChars="50" w:firstLine="420"/>
        <w:jc w:val="right"/>
        <w:rPr>
          <w:rFonts w:hint="eastAsia" w:eastAsia="宋体"/>
          <w:sz w:val="24"/>
          <w:szCs w:val="24"/>
        </w:rPr>
      </w:pPr>
      <w:r>
        <w:rPr>
          <w:rFonts w:hint="eastAsia" w:eastAsia="宋体"/>
          <w:sz w:val="24"/>
          <w:szCs w:val="24"/>
        </w:rPr>
        <w:t>2025年5月</w:t>
      </w:r>
      <w:r>
        <w:rPr>
          <w:rFonts w:hint="eastAsia" w:eastAsia="宋体"/>
          <w:sz w:val="24"/>
          <w:szCs w:val="24"/>
          <w:lang w:val="en-US" w:eastAsia="zh-CN"/>
        </w:rPr>
        <w:t>14</w:t>
      </w:r>
      <w:r>
        <w:rPr>
          <w:rFonts w:hint="eastAsia"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97"/>
    <w:rsid w:val="002A0373"/>
    <w:rsid w:val="002C5528"/>
    <w:rsid w:val="00363C97"/>
    <w:rsid w:val="0045724A"/>
    <w:rsid w:val="00507ACD"/>
    <w:rsid w:val="005E7377"/>
    <w:rsid w:val="005F768B"/>
    <w:rsid w:val="006C39E6"/>
    <w:rsid w:val="007D571D"/>
    <w:rsid w:val="00886C43"/>
    <w:rsid w:val="00A360BD"/>
    <w:rsid w:val="00A61868"/>
    <w:rsid w:val="00B60891"/>
    <w:rsid w:val="00CB1F10"/>
    <w:rsid w:val="00E25F1C"/>
    <w:rsid w:val="00E26F3A"/>
    <w:rsid w:val="00E426BB"/>
    <w:rsid w:val="3D4A299A"/>
    <w:rsid w:val="4877302A"/>
    <w:rsid w:val="59023F51"/>
    <w:rsid w:val="697B4875"/>
    <w:rsid w:val="6F6F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cstheme="majorBidi"/>
      <w:color w:val="104862" w:themeColor="accent1" w:themeShade="BF"/>
      <w:sz w:val="24"/>
      <w:szCs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cstheme="majorBidi"/>
      <w:b/>
      <w:bCs/>
      <w:color w:val="104862" w:themeColor="accent1" w:themeShade="BF"/>
      <w:sz w:val="22"/>
      <w:szCs w:val="24"/>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sz w:val="22"/>
      <w:szCs w:val="24"/>
      <w14:ligatures w14:val="standardContextual"/>
    </w:r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szCs w:val="24"/>
      <w14:ligatures w14:val="standardContextual"/>
    </w:rPr>
  </w:style>
  <w:style w:type="character" w:customStyle="1" w:styleId="33">
    <w:name w:val="明显引用 字符"/>
    <w:basedOn w:val="16"/>
    <w:link w:val="32"/>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uiPriority w:val="99"/>
    <w:rPr>
      <w:kern w:val="2"/>
      <w:sz w:val="18"/>
      <w:szCs w:val="18"/>
    </w:rPr>
  </w:style>
  <w:style w:type="character" w:customStyle="1" w:styleId="36">
    <w:name w:val="页脚 字符"/>
    <w:basedOn w:val="16"/>
    <w:link w:val="11"/>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621</Words>
  <Characters>660</Characters>
  <Lines>4</Lines>
  <Paragraphs>1</Paragraphs>
  <TotalTime>0</TotalTime>
  <ScaleCrop>false</ScaleCrop>
  <LinksUpToDate>false</LinksUpToDate>
  <CharactersWithSpaces>663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2025-05-13T06:54:00Z</dcterms:created>
  <dc:creator>D zhiyu</dc:creator>
  <cp:lastModifiedBy>Cynthia</cp:lastModifiedBy>
  <dcterms:modified xsi:type="dcterms:W3CDTF">2025-05-14T09:16:07Z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eyJoZGlkIjoiZjdiODJlMmNlMWUxZjJmZWFjOWZlNDM4MDcyMzdjZjMiLCJ1c2VySWQiOiIzMTk1NDE4MDAifQ==</vt:lpwstr>
  </property>
  <property fmtid="{D5CDD505-2E9C-101B-9397-08002B2CF9AE}" pid="3" name="KSOProductBuildVer">
    <vt:lpwstr>2052-12.1.0.21171</vt:lpwstr>
  </property>
  <property fmtid="{D5CDD505-2E9C-101B-9397-08002B2CF9AE}" pid="4" name="ICV">
    <vt:lpwstr>5F8D296BBD124CD191FA7FFC7E5B6E05_13</vt:lpwstr>
  </property>
</Properties>
</file>