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spacing w:before="140" w:after="140" w:line="240" w:lineRule="auto"/>
        <w:jc w:val="center"/>
        <w:rPr>
          <w:rFonts w:hint="eastAsia" w:ascii="黑体" w:hAnsi="黑体" w:cs="黑体"/>
          <w:color w:val="000000" w:themeColor="text1"/>
          <w:sz w:val="30"/>
          <w:szCs w:val="30"/>
          <w14:textFill>
            <w14:solidFill>
              <w14:schemeClr w14:val="tx1"/>
            </w14:solidFill>
          </w14:textFill>
        </w:rPr>
      </w:pPr>
      <w:r>
        <w:rPr>
          <w:rFonts w:hint="eastAsia" w:ascii="黑体" w:hAnsi="黑体" w:cs="黑体"/>
          <w:color w:val="000000" w:themeColor="text1"/>
          <w:sz w:val="30"/>
          <w:szCs w:val="30"/>
          <w14:textFill>
            <w14:solidFill>
              <w14:schemeClr w14:val="tx1"/>
            </w14:solidFill>
          </w14:textFill>
        </w:rPr>
        <w:t>高校</w:t>
      </w:r>
      <w:r>
        <w:rPr>
          <w:rFonts w:hint="eastAsia"/>
          <w:color w:val="000000" w:themeColor="text1"/>
          <w14:textFill>
            <w14:solidFill>
              <w14:schemeClr w14:val="tx1"/>
            </w14:solidFill>
          </w14:textFill>
        </w:rPr>
        <w:t>大学生</w:t>
      </w:r>
      <w:r>
        <w:rPr>
          <w:rFonts w:hint="eastAsia" w:ascii="黑体" w:hAnsi="黑体" w:cs="黑体"/>
          <w:color w:val="000000" w:themeColor="text1"/>
          <w:sz w:val="30"/>
          <w:szCs w:val="30"/>
          <w14:textFill>
            <w14:solidFill>
              <w14:schemeClr w14:val="tx1"/>
            </w14:solidFill>
          </w14:textFill>
        </w:rPr>
        <w:t>行为管理预警</w:t>
      </w:r>
      <w:r>
        <w:rPr>
          <w:rFonts w:hint="eastAsia" w:ascii="黑体" w:hAnsi="黑体" w:cs="黑体"/>
          <w:color w:val="000000" w:themeColor="text1"/>
          <w:sz w:val="30"/>
          <w:szCs w:val="30"/>
          <w:lang w:eastAsia="zh-CN"/>
          <w14:textFill>
            <w14:solidFill>
              <w14:schemeClr w14:val="tx1"/>
            </w14:solidFill>
          </w14:textFill>
        </w:rPr>
        <w:t>平台</w:t>
      </w:r>
      <w:bookmarkStart w:id="1" w:name="_GoBack"/>
      <w:bookmarkEnd w:id="1"/>
      <w:r>
        <w:rPr>
          <w:rFonts w:hint="eastAsia" w:ascii="黑体" w:hAnsi="黑体" w:cs="黑体"/>
          <w:color w:val="000000" w:themeColor="text1"/>
          <w:sz w:val="30"/>
          <w:szCs w:val="30"/>
          <w14:textFill>
            <w14:solidFill>
              <w14:schemeClr w14:val="tx1"/>
            </w14:solidFill>
          </w14:textFill>
        </w:rPr>
        <w:t>建设研究</w:t>
      </w:r>
      <w:r>
        <w:rPr>
          <w:rStyle w:val="6"/>
          <w:rFonts w:hint="eastAsia" w:ascii="黑体" w:hAnsi="黑体" w:cs="黑体"/>
          <w:color w:val="000000" w:themeColor="text1"/>
          <w:sz w:val="30"/>
          <w:szCs w:val="30"/>
          <w14:textFill>
            <w14:solidFill>
              <w14:schemeClr w14:val="tx1"/>
            </w14:solidFill>
          </w14:textFill>
        </w:rPr>
        <w:footnoteReference w:id="0"/>
      </w:r>
    </w:p>
    <w:p>
      <w:pPr>
        <w:spacing w:line="400" w:lineRule="exact"/>
        <w:jc w:val="center"/>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金星</w:t>
      </w:r>
      <w:r>
        <w:rPr>
          <w:rFonts w:hint="eastAsia" w:ascii="宋体" w:hAnsi="宋体"/>
          <w:b/>
          <w:color w:val="000000" w:themeColor="text1"/>
          <w:sz w:val="24"/>
          <w:szCs w:val="24"/>
          <w:lang w:val="en-US" w:eastAsia="zh-CN"/>
          <w14:textFill>
            <w14:solidFill>
              <w14:schemeClr w14:val="tx1"/>
            </w14:solidFill>
          </w14:textFill>
        </w:rPr>
        <w:t xml:space="preserve">  蓝永丽  邵祥东</w:t>
      </w:r>
    </w:p>
    <w:p>
      <w:pPr>
        <w:spacing w:line="400" w:lineRule="exact"/>
        <w:jc w:val="center"/>
        <w:rPr>
          <w:rFonts w:hint="eastAsia" w:ascii="宋体" w:hAnsi="宋体"/>
          <w:b/>
          <w:color w:val="000000" w:themeColor="text1"/>
          <w:sz w:val="24"/>
          <w:szCs w:val="24"/>
          <w:lang w:val="en-US" w:eastAsia="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（中南民族大学 学生工作部 武汉）</w:t>
      </w:r>
    </w:p>
    <w:p>
      <w:pPr>
        <w:spacing w:line="400" w:lineRule="exact"/>
        <w:jc w:val="center"/>
        <w:rPr>
          <w:rFonts w:hint="default" w:ascii="Times New Roman" w:hAnsi="Times New Roman" w:cs="Times New Roman"/>
          <w:b w:val="0"/>
          <w:bCs/>
          <w:color w:val="000000" w:themeColor="text1"/>
          <w:sz w:val="24"/>
          <w:szCs w:val="24"/>
          <w:lang w:val="en-US" w:eastAsia="zh-CN"/>
          <w14:textFill>
            <w14:solidFill>
              <w14:schemeClr w14:val="tx1"/>
            </w14:solidFill>
          </w14:textFill>
        </w:rPr>
      </w:pP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楷体" w:hAnsi="楷体" w:eastAsia="楷体" w:cs="楷体"/>
          <w:color w:val="000000" w:themeColor="text1"/>
          <w:sz w:val="24"/>
          <w:szCs w:val="24"/>
          <w:shd w:val="clear" w:color="auto" w:fill="FFFFFF"/>
          <w:lang w:eastAsia="zh-CN"/>
          <w14:textFill>
            <w14:solidFill>
              <w14:schemeClr w14:val="tx1"/>
            </w14:solidFill>
          </w14:textFill>
        </w:rPr>
        <w:t>摘要</w:t>
      </w:r>
      <w:r>
        <w:rPr>
          <w:rFonts w:hint="eastAsia" w:ascii="宋体" w:hAnsi="宋体" w:cs="Arial"/>
          <w:color w:val="000000" w:themeColor="text1"/>
          <w:sz w:val="24"/>
          <w:szCs w:val="24"/>
          <w:shd w:val="clear" w:color="auto" w:fill="FFFFFF"/>
          <w:lang w:eastAsia="zh-CN"/>
          <w14:textFill>
            <w14:solidFill>
              <w14:schemeClr w14:val="tx1"/>
            </w14:solidFill>
          </w14:textFill>
        </w:rPr>
        <w:t>：</w:t>
      </w:r>
      <w:r>
        <w:rPr>
          <w:rFonts w:hint="eastAsia" w:ascii="宋体" w:hAnsi="宋体" w:cs="Arial"/>
          <w:color w:val="000000" w:themeColor="text1"/>
          <w:sz w:val="24"/>
          <w:szCs w:val="24"/>
          <w:shd w:val="clear" w:color="auto" w:fill="FFFFFF"/>
          <w14:textFill>
            <w14:solidFill>
              <w14:schemeClr w14:val="tx1"/>
            </w14:solidFill>
          </w14:textFill>
        </w:rPr>
        <w:t>预警一词英文称之为“Early-Warning”，可解释为，在灾害或灾难以及其他需要提防的危险发生之前，根据以往总结的规律或观测得到的可能性前兆，向相关部门发出紧急信号，报告危险情况，以避免危害在不知情或准备不足的情况下发生，从而最大程度的减低危害所造成的损失的行为。</w:t>
      </w:r>
      <w:r>
        <w:rPr>
          <w:rFonts w:hint="eastAsia" w:ascii="宋体" w:hAnsi="宋体"/>
          <w:color w:val="000000" w:themeColor="text1"/>
          <w:sz w:val="24"/>
          <w:szCs w:val="24"/>
          <w14:textFill>
            <w14:solidFill>
              <w14:schemeClr w14:val="tx1"/>
            </w14:solidFill>
          </w14:textFill>
        </w:rPr>
        <w:t>学生行为预警是高校在进行学生日常管理和服务过程中，利用大数据等信息化手段，对学生日常行为规范进行监测，对违规行为或者评估到的风险进行预警的一种非学术性管理行为。学生行为预警可根据学生在校行为种类可以归类为：学业预警、思想预警、身心预警、日常行为预警、就业预警等，本</w:t>
      </w:r>
      <w:r>
        <w:rPr>
          <w:rFonts w:hint="eastAsia" w:ascii="宋体" w:hAnsi="宋体"/>
          <w:color w:val="000000" w:themeColor="text1"/>
          <w:sz w:val="24"/>
          <w:szCs w:val="24"/>
          <w:lang w:eastAsia="zh-CN"/>
          <w14:textFill>
            <w14:solidFill>
              <w14:schemeClr w14:val="tx1"/>
            </w14:solidFill>
          </w14:textFill>
        </w:rPr>
        <w:t>文</w:t>
      </w:r>
      <w:r>
        <w:rPr>
          <w:rFonts w:hint="eastAsia" w:ascii="宋体" w:hAnsi="宋体"/>
          <w:color w:val="000000" w:themeColor="text1"/>
          <w:sz w:val="24"/>
          <w:szCs w:val="24"/>
          <w14:textFill>
            <w14:solidFill>
              <w14:schemeClr w14:val="tx1"/>
            </w14:solidFill>
          </w14:textFill>
        </w:rPr>
        <w:t>仅针对学生日常行为预警及身心健康预警开展讨论，设计相关预警模式。</w:t>
      </w:r>
    </w:p>
    <w:p>
      <w:pPr>
        <w:spacing w:line="400" w:lineRule="exact"/>
        <w:ind w:firstLine="480" w:firstLineChars="200"/>
        <w:rPr>
          <w:rFonts w:hint="default" w:ascii="Times New Roman" w:hAnsi="Times New Roman" w:eastAsia="宋体" w:cs="Times New Roman"/>
          <w:b w:val="0"/>
          <w:i w:val="0"/>
          <w:caps w:val="0"/>
          <w:color w:val="000000" w:themeColor="text1"/>
          <w:spacing w:val="0"/>
          <w:sz w:val="24"/>
          <w:szCs w:val="24"/>
          <w:shd w:val="clear" w:fill="F7F8FA"/>
          <w14:textFill>
            <w14:solidFill>
              <w14:schemeClr w14:val="tx1"/>
            </w14:solidFill>
          </w14:textFill>
        </w:rPr>
      </w:pPr>
    </w:p>
    <w:p>
      <w:pPr>
        <w:spacing w:line="400" w:lineRule="exact"/>
        <w:ind w:firstLine="480" w:firstLineChars="200"/>
        <w:rPr>
          <w:rFonts w:hint="eastAsia" w:ascii="宋体" w:hAnsi="宋体"/>
          <w:color w:val="000000" w:themeColor="text1"/>
          <w:sz w:val="24"/>
          <w:szCs w:val="24"/>
          <w:lang w:val="en-US" w:eastAsia="zh-CN"/>
          <w14:textFill>
            <w14:solidFill>
              <w14:schemeClr w14:val="tx1"/>
            </w14:solidFill>
          </w14:textFill>
        </w:rPr>
      </w:pPr>
      <w:r>
        <w:rPr>
          <w:rFonts w:hint="eastAsia" w:ascii="楷体" w:hAnsi="楷体" w:eastAsia="楷体" w:cs="楷体"/>
          <w:color w:val="000000" w:themeColor="text1"/>
          <w:sz w:val="24"/>
          <w:szCs w:val="24"/>
          <w:lang w:val="en-US" w:eastAsia="zh-CN"/>
          <w14:textFill>
            <w14:solidFill>
              <w14:schemeClr w14:val="tx1"/>
            </w14:solidFill>
          </w14:textFill>
        </w:rPr>
        <w:t>关键词</w:t>
      </w:r>
      <w:r>
        <w:rPr>
          <w:rFonts w:hint="eastAsia" w:ascii="宋体" w:hAnsi="宋体"/>
          <w:color w:val="000000" w:themeColor="text1"/>
          <w:sz w:val="24"/>
          <w:szCs w:val="24"/>
          <w:lang w:val="en-US" w:eastAsia="zh-CN"/>
          <w14:textFill>
            <w14:solidFill>
              <w14:schemeClr w14:val="tx1"/>
            </w14:solidFill>
          </w14:textFill>
        </w:rPr>
        <w:t>：预警系统  大数据  高校学生行为</w:t>
      </w:r>
    </w:p>
    <w:p>
      <w:pPr>
        <w:spacing w:line="400" w:lineRule="exact"/>
        <w:ind w:firstLine="480" w:firstLineChars="200"/>
        <w:rPr>
          <w:rFonts w:hint="eastAsia" w:cs="Times New Roman"/>
          <w:b w:val="0"/>
          <w:i w:val="0"/>
          <w:caps w:val="0"/>
          <w:color w:val="000000" w:themeColor="text1"/>
          <w:spacing w:val="0"/>
          <w:sz w:val="24"/>
          <w:szCs w:val="24"/>
          <w:shd w:val="clear" w:fill="F7F8FA"/>
          <w:lang w:val="en-US" w:eastAsia="zh-CN"/>
          <w14:textFill>
            <w14:solidFill>
              <w14:schemeClr w14:val="tx1"/>
            </w14:solidFill>
          </w14:textFill>
        </w:rPr>
      </w:pPr>
    </w:p>
    <w:p>
      <w:pPr>
        <w:numPr>
          <w:ilvl w:val="0"/>
          <w:numId w:val="2"/>
        </w:numPr>
        <w:snapToGrid w:val="0"/>
        <w:spacing w:line="400" w:lineRule="exact"/>
        <w:ind w:firstLine="562" w:firstLineChars="200"/>
        <w:rPr>
          <w:rFonts w:hint="eastAsia" w:ascii="宋体" w:hAnsi="宋体" w:cs="Arial"/>
          <w:b/>
          <w:color w:val="000000" w:themeColor="text1"/>
          <w:sz w:val="28"/>
          <w:szCs w:val="28"/>
          <w:shd w:val="clear" w:color="auto" w:fill="FFFFFF"/>
          <w14:textFill>
            <w14:solidFill>
              <w14:schemeClr w14:val="tx1"/>
            </w14:solidFill>
          </w14:textFill>
        </w:rPr>
      </w:pPr>
      <w:r>
        <w:rPr>
          <w:rFonts w:hint="eastAsia" w:ascii="宋体" w:hAnsi="宋体" w:cs="Arial"/>
          <w:b/>
          <w:color w:val="000000" w:themeColor="text1"/>
          <w:sz w:val="28"/>
          <w:szCs w:val="28"/>
          <w:shd w:val="clear" w:color="auto" w:fill="FFFFFF"/>
          <w14:textFill>
            <w14:solidFill>
              <w14:schemeClr w14:val="tx1"/>
            </w14:solidFill>
          </w14:textFill>
        </w:rPr>
        <w:t>高校学生管理面临的挑战</w:t>
      </w:r>
    </w:p>
    <w:p>
      <w:pPr>
        <w:numPr>
          <w:ilvl w:val="0"/>
          <w:numId w:val="0"/>
        </w:numPr>
        <w:snapToGri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伴随着信息化时代的到来，网络充斥着社会方方面面，高校学生管理作为一项具有专业性、系统性和复杂性的工作，传统安全问题仍然存在，网络时代又带来了高校学生管理工作新的问题和困境，主要表现为：师道权威性弱化、价值观念冲突和德育工作难度加大等。</w:t>
      </w:r>
    </w:p>
    <w:p>
      <w:pPr>
        <w:numPr>
          <w:ilvl w:val="0"/>
          <w:numId w:val="3"/>
        </w:num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管理风险。</w:t>
      </w:r>
      <w:r>
        <w:rPr>
          <w:rFonts w:hint="eastAsia" w:ascii="宋体" w:hAnsi="宋体"/>
          <w:color w:val="000000" w:themeColor="text1"/>
          <w:sz w:val="24"/>
          <w:szCs w:val="24"/>
          <w14:textFill>
            <w14:solidFill>
              <w14:schemeClr w14:val="tx1"/>
            </w14:solidFill>
          </w14:textFill>
        </w:rPr>
        <w:t>当前学生管理风险包括传统安全风险和新安全风险，传统安全风险主要是指学生日常学习生活中的失恋、失踪、失联、失窃、上当受骗等人身财产安全等；新安全风险主要包括非法校园贷、网络贷、网络传销等可能侵犯人身财产安全和宣扬暴力、色情等不良价值观念的网络风险。</w:t>
      </w:r>
    </w:p>
    <w:p>
      <w:pPr>
        <w:numPr>
          <w:ilvl w:val="0"/>
          <w:numId w:val="3"/>
        </w:numPr>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资源错配。</w:t>
      </w:r>
      <w:r>
        <w:rPr>
          <w:rFonts w:hint="eastAsia" w:ascii="宋体" w:hAnsi="宋体"/>
          <w:color w:val="000000" w:themeColor="text1"/>
          <w:sz w:val="24"/>
          <w:szCs w:val="24"/>
          <w14:textFill>
            <w14:solidFill>
              <w14:schemeClr w14:val="tx1"/>
            </w14:solidFill>
          </w14:textFill>
        </w:rPr>
        <w:t>主要是指教育资源在学生中的错误配置，未实现教育资源价值最大化。包括家庭经济困难学生认定、国家奖助学金评审、学校奖助学金评审、社会资助资源配置、教与学目标非对称性设置等。</w:t>
      </w:r>
    </w:p>
    <w:p>
      <w:pPr>
        <w:numPr>
          <w:ilvl w:val="0"/>
          <w:numId w:val="3"/>
        </w:numPr>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教育失效。</w:t>
      </w:r>
      <w:r>
        <w:rPr>
          <w:rFonts w:hint="eastAsia" w:ascii="宋体" w:hAnsi="宋体"/>
          <w:color w:val="000000" w:themeColor="text1"/>
          <w:sz w:val="24"/>
          <w:szCs w:val="24"/>
          <w14:textFill>
            <w14:solidFill>
              <w14:schemeClr w14:val="tx1"/>
            </w14:solidFill>
          </w14:textFill>
        </w:rPr>
        <w:t>主要是指从教育效果上来讲，受教育者存在理想信念缺失、社会责任缺失、诚信意识缺失、集体意识缺失等现象，教育者存在远离现实社会需求、回避学生成长需要等现象。</w:t>
      </w:r>
    </w:p>
    <w:p>
      <w:pPr>
        <w:numPr>
          <w:ilvl w:val="0"/>
          <w:numId w:val="2"/>
        </w:numPr>
        <w:spacing w:line="400" w:lineRule="exact"/>
        <w:ind w:left="0" w:leftChars="0"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学生行为预警的重要性</w:t>
      </w:r>
    </w:p>
    <w:p>
      <w:pPr>
        <w:numPr>
          <w:ilvl w:val="0"/>
          <w:numId w:val="4"/>
        </w:numPr>
        <w:spacing w:line="400" w:lineRule="exact"/>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建设和谐校园的底线要求。</w:t>
      </w:r>
      <w:r>
        <w:rPr>
          <w:rFonts w:hint="eastAsia" w:ascii="宋体" w:hAnsi="宋体"/>
          <w:color w:val="000000" w:themeColor="text1"/>
          <w:sz w:val="24"/>
          <w:szCs w:val="24"/>
          <w14:textFill>
            <w14:solidFill>
              <w14:schemeClr w14:val="tx1"/>
            </w14:solidFill>
          </w14:textFill>
        </w:rPr>
        <w:t>最新《普通高等学校学生管理规定》（教育部第41号令）中指出，“</w:t>
      </w:r>
      <w:bookmarkStart w:id="0" w:name="OLE_LINK1"/>
      <w:r>
        <w:rPr>
          <w:rFonts w:hint="eastAsia" w:ascii="宋体" w:hAnsi="宋体"/>
          <w:color w:val="000000" w:themeColor="text1"/>
          <w:sz w:val="24"/>
          <w:szCs w:val="24"/>
          <w14:textFill>
            <w14:solidFill>
              <w14:schemeClr w14:val="tx1"/>
            </w14:solidFill>
          </w14:textFill>
        </w:rPr>
        <w:t>学校、学生应当共同维护校园正常秩序，保障学校环境安全、稳定，保障学生的正常学习和生活</w:t>
      </w:r>
      <w:bookmarkEnd w:id="0"/>
      <w:r>
        <w:rPr>
          <w:rFonts w:hint="eastAsia" w:ascii="宋体" w:hAnsi="宋体"/>
          <w:color w:val="000000" w:themeColor="text1"/>
          <w:sz w:val="24"/>
          <w:szCs w:val="24"/>
          <w14:textFill>
            <w14:solidFill>
              <w14:schemeClr w14:val="tx1"/>
            </w14:solidFill>
          </w14:textFill>
        </w:rPr>
        <w:t>”。新生管理应转变传统的“事后处理型”学生管理方式为“事前事中预防型”，力求在学生管理工作中充分贯彻以学生为本的人性化和谐管理理念。</w:t>
      </w:r>
    </w:p>
    <w:p>
      <w:pPr>
        <w:numPr>
          <w:ilvl w:val="0"/>
          <w:numId w:val="4"/>
        </w:numPr>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“以生为本”促进公平的育人要求。</w:t>
      </w:r>
      <w:r>
        <w:rPr>
          <w:rFonts w:hint="eastAsia" w:ascii="宋体" w:hAnsi="宋体"/>
          <w:color w:val="000000" w:themeColor="text1"/>
          <w:sz w:val="24"/>
          <w:szCs w:val="24"/>
          <w14:textFill>
            <w14:solidFill>
              <w14:schemeClr w14:val="tx1"/>
            </w14:solidFill>
          </w14:textFill>
        </w:rPr>
        <w:t>中共中央、国务院最近发出《关于进一步加强和改进大学生思想政治工作的意见》指出，要“以人为本”，加强学生思想政治教育。新出台的《普通高等学校学生管理规定》（教育部第41号令）和《普通高等学校辅导员队伍建设规定》（教育部第43号令）也充分体现出“以生为本”的要求。“以生为本”就是要针对学生个体，开展有针对性的个性化教育措施，帮助学生全面发展。建设学生行为预警平台正体现了这一理念。学生行为预警平台可以分析和掌握学生普遍的行为习惯，对学生成长过程进行预警和干预，同时根据分析结果科学配置教育资源，创建公平的教育环境。</w:t>
      </w:r>
    </w:p>
    <w:p>
      <w:pPr>
        <w:numPr>
          <w:ilvl w:val="0"/>
          <w:numId w:val="4"/>
        </w:numPr>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高校网格化管理应有之意。</w:t>
      </w:r>
      <w:r>
        <w:rPr>
          <w:rFonts w:hint="eastAsia" w:ascii="宋体" w:hAnsi="宋体"/>
          <w:color w:val="000000" w:themeColor="text1"/>
          <w:sz w:val="24"/>
          <w:szCs w:val="24"/>
          <w14:textFill>
            <w14:solidFill>
              <w14:schemeClr w14:val="tx1"/>
            </w14:solidFill>
          </w14:textFill>
        </w:rPr>
        <w:t>高校网格化管理是运用网格技术和网格管理模式提升高校治理水平的一种新型管理模式，是有别于“学校——学院——年级——班级”的传统层级管理模式，实现“网中有格、人在格中”。网格化管理系统包括信息发现机制、分析机制、上报机制、预警机制、响应机制、监督机制等，而学生作为高校网格化管理中数量最大的群体，行为预警是其中最重要的一个环节。</w:t>
      </w:r>
    </w:p>
    <w:p>
      <w:pPr>
        <w:numPr>
          <w:ilvl w:val="0"/>
          <w:numId w:val="4"/>
        </w:numPr>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大数据时代使学生行为预警成为可能。</w:t>
      </w:r>
      <w:r>
        <w:rPr>
          <w:rFonts w:hint="eastAsia" w:ascii="宋体" w:hAnsi="宋体"/>
          <w:color w:val="000000" w:themeColor="text1"/>
          <w:sz w:val="24"/>
          <w:szCs w:val="24"/>
          <w14:textFill>
            <w14:solidFill>
              <w14:schemeClr w14:val="tx1"/>
            </w14:solidFill>
          </w14:textFill>
        </w:rPr>
        <w:t>近年来，人类在前沿科技上取得了很大进展，大数据、物联网、人工智能是显著代表。教育部长陈宝生2018年2月在全国教育工作会议上的讲话中指出，要加快教育信息化步伐，启动教育信息化2.0行动计划。近年来，高校在原有“孤岛式”学生业务系统基础上，开始探索建设统一管理、统一规范、统一标准的大数据中心，应用大数据技术服务学生教育管理，并已经取得一些良好的效果。高校学生行为种类繁多，难以监管，运用大数据分析方法，辅以校园一卡通建设、门禁系统建设等，使得与学生生活学习方面相关的多维度数据采集与利用成为可能。</w:t>
      </w:r>
    </w:p>
    <w:p>
      <w:pPr>
        <w:spacing w:line="400" w:lineRule="exact"/>
        <w:ind w:firstLine="562" w:firstLineChars="200"/>
        <w:rPr>
          <w:rFonts w:hint="eastAsia" w:ascii="Times New Roman" w:hAnsi="Times New Roman" w:cs="Times New Roman"/>
          <w:b/>
          <w:bCs/>
          <w:color w:val="000000" w:themeColor="text1"/>
          <w:sz w:val="24"/>
          <w:szCs w:val="24"/>
          <w:shd w:val="clear" w:color="auto" w:fill="FFFFFF"/>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三、学生行为预警类别和预警规则</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学生在校行为种类繁多，按照学生事务管理概念，可以分类归纳为200多项具体的学生事务流程，涉及到思想政治教育、成才指导、学习支持、素质拓展、行为规范、创新创业、资助奖励、生活服务等方面</w:t>
      </w:r>
      <w:r>
        <w:rPr>
          <w:rFonts w:ascii="宋体" w:hAnsi="宋体"/>
          <w:color w:val="000000" w:themeColor="text1"/>
          <w:sz w:val="24"/>
          <w:szCs w:val="24"/>
          <w:vertAlign w:val="superscript"/>
          <w14:textFill>
            <w14:solidFill>
              <w14:schemeClr w14:val="tx1"/>
            </w14:solidFill>
          </w14:textFill>
        </w:rPr>
        <w:footnoteReference w:id="1"/>
      </w:r>
      <w:r>
        <w:rPr>
          <w:rFonts w:hint="eastAsia" w:ascii="宋体" w:hAnsi="宋体"/>
          <w:color w:val="000000" w:themeColor="text1"/>
          <w:sz w:val="24"/>
          <w:szCs w:val="24"/>
          <w14:textFill>
            <w14:solidFill>
              <w14:schemeClr w14:val="tx1"/>
            </w14:solidFill>
          </w14:textFill>
        </w:rPr>
        <w:t>，高校在建设学生行为预警分析系统时，需要根据学校已有信息化条件和当前教育管理重难点进行建设规划，合理设置预警类别，科学设定预警规则，坚持科学性、自动化和实用性原则。中南民族大学学生行为预警主要包括以下几个方面</w:t>
      </w:r>
      <w:r>
        <w:rPr>
          <w:rFonts w:ascii="宋体" w:hAnsi="宋体"/>
          <w:color w:val="000000" w:themeColor="text1"/>
          <w:sz w:val="24"/>
          <w:szCs w:val="24"/>
          <w:vertAlign w:val="superscript"/>
          <w14:textFill>
            <w14:solidFill>
              <w14:schemeClr w14:val="tx1"/>
            </w14:solidFill>
          </w14:textFill>
        </w:rPr>
        <w:footnoteReference w:id="2"/>
      </w:r>
      <w:r>
        <w:rPr>
          <w:rFonts w:hint="eastAsia" w:ascii="宋体" w:hAnsi="宋体"/>
          <w:color w:val="000000" w:themeColor="text1"/>
          <w:sz w:val="24"/>
          <w:szCs w:val="24"/>
          <w14:textFill>
            <w14:solidFill>
              <w14:schemeClr w14:val="tx1"/>
            </w14:solidFill>
          </w14:textFill>
        </w:rPr>
        <w:t>：</w:t>
      </w:r>
    </w:p>
    <w:p>
      <w:pPr>
        <w:numPr>
          <w:ilvl w:val="0"/>
          <w:numId w:val="0"/>
        </w:numPr>
        <w:spacing w:line="40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1.</w:t>
      </w:r>
      <w:r>
        <w:rPr>
          <w:rFonts w:hint="eastAsia" w:ascii="宋体" w:hAnsi="宋体"/>
          <w:b/>
          <w:color w:val="000000" w:themeColor="text1"/>
          <w:sz w:val="24"/>
          <w:szCs w:val="24"/>
          <w14:textFill>
            <w14:solidFill>
              <w14:schemeClr w14:val="tx1"/>
            </w14:solidFill>
          </w14:textFill>
        </w:rPr>
        <w:t>学生失联预警。</w:t>
      </w:r>
      <w:r>
        <w:rPr>
          <w:rFonts w:hint="eastAsia" w:ascii="宋体" w:hAnsi="宋体"/>
          <w:color w:val="000000" w:themeColor="text1"/>
          <w:sz w:val="24"/>
          <w:szCs w:val="24"/>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学生校内行为轨迹分析生成。如果学生在设定时间内未产生校内轨迹，同时未有学生请假信息，则生成学生失联预警信息。</w:t>
      </w:r>
    </w:p>
    <w:p>
      <w:pPr>
        <w:spacing w:line="40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2.消费预警。</w:t>
      </w:r>
      <w:r>
        <w:rPr>
          <w:rFonts w:hint="eastAsia" w:ascii="宋体" w:hAnsi="宋体"/>
          <w:color w:val="000000" w:themeColor="text1"/>
          <w:sz w:val="24"/>
          <w:szCs w:val="24"/>
          <w14:textFill>
            <w14:solidFill>
              <w14:schemeClr w14:val="tx1"/>
            </w14:solidFill>
          </w14:textFill>
        </w:rPr>
        <w:t>根据学生一卡通消费信息生成。如果学生月消费额低于400元（金额根据学生一般消费水平可浮动）、超过1500元，或两天未在学校内出现消费记录，则产生消费预警信息。该预警信息包含学生姓名、事件类型、事件时间等</w:t>
      </w:r>
      <w:r>
        <w:rPr>
          <w:rFonts w:hint="eastAsia" w:ascii="宋体" w:hAnsi="宋体" w:cs="宋体"/>
          <w:color w:val="000000" w:themeColor="text1"/>
          <w:sz w:val="24"/>
          <w:szCs w:val="24"/>
          <w14:textFill>
            <w14:solidFill>
              <w14:schemeClr w14:val="tx1"/>
            </w14:solidFill>
          </w14:textFill>
        </w:rPr>
        <w:t>。</w:t>
      </w:r>
    </w:p>
    <w:p>
      <w:pPr>
        <w:spacing w:line="40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3.心理健康预警。</w:t>
      </w:r>
      <w:r>
        <w:rPr>
          <w:rFonts w:hint="eastAsia" w:ascii="宋体" w:hAnsi="宋体"/>
          <w:color w:val="000000" w:themeColor="text1"/>
          <w:sz w:val="24"/>
          <w:szCs w:val="24"/>
          <w14:textFill>
            <w14:solidFill>
              <w14:schemeClr w14:val="tx1"/>
            </w14:solidFill>
          </w14:textFill>
        </w:rPr>
        <w:t>根据学生校内行为轨迹分析和学生上网行为分析生成，并结合学生心理健康测试信息、身体达标测试信息、心理健康咨询档案信息分析运算。如果在学生心理健康信息名单中的学生，只有一卡通消费行为且上网时间较长，或有长时间内的网络游戏流量等异常行为，则生成学生心理健康预警信息。</w:t>
      </w:r>
      <w:r>
        <w:rPr>
          <w:rFonts w:hint="eastAsia" w:ascii="宋体" w:hAnsi="宋体" w:cs="宋体"/>
          <w:color w:val="000000" w:themeColor="text1"/>
          <w:sz w:val="24"/>
          <w:szCs w:val="24"/>
          <w14:textFill>
            <w14:solidFill>
              <w14:schemeClr w14:val="tx1"/>
            </w14:solidFill>
          </w14:textFill>
        </w:rPr>
        <w:t>该预警信息包含学生姓名、事件类型、事件时间等。</w:t>
      </w:r>
    </w:p>
    <w:p>
      <w:pPr>
        <w:numPr>
          <w:ilvl w:val="0"/>
          <w:numId w:val="0"/>
        </w:numPr>
        <w:spacing w:line="400" w:lineRule="exact"/>
        <w:ind w:firstLine="482"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14:textFill>
            <w14:solidFill>
              <w14:schemeClr w14:val="tx1"/>
            </w14:solidFill>
          </w14:textFill>
        </w:rPr>
        <w:t>宿舍晚归不归预警。</w:t>
      </w:r>
      <w:r>
        <w:rPr>
          <w:rFonts w:hint="eastAsia" w:ascii="宋体" w:hAnsi="宋体"/>
          <w:color w:val="000000" w:themeColor="text1"/>
          <w:sz w:val="24"/>
          <w:szCs w:val="24"/>
          <w14:textFill>
            <w14:solidFill>
              <w14:schemeClr w14:val="tx1"/>
            </w14:solidFill>
          </w14:textFill>
        </w:rPr>
        <w:t>根据学生校内行为轨迹和学生宿舍门禁系统记录，结合学生请销假情况，综合判定学生当天是否超过23:00晚归或者不归，若未归或晚归，则产生学生相应预警信息。</w:t>
      </w:r>
      <w:r>
        <w:rPr>
          <w:rFonts w:hint="eastAsia" w:ascii="宋体" w:hAnsi="宋体" w:cs="宋体"/>
          <w:color w:val="000000" w:themeColor="text1"/>
          <w:sz w:val="24"/>
          <w:szCs w:val="24"/>
          <w14:textFill>
            <w14:solidFill>
              <w14:schemeClr w14:val="tx1"/>
            </w14:solidFill>
          </w14:textFill>
        </w:rPr>
        <w:t>该预警信息包含学生姓名、事件类型、事件时间等，通过学生姓名进入学生画像页面，相关管理者可查看相应的学生信息。</w:t>
      </w:r>
    </w:p>
    <w:p>
      <w:pPr>
        <w:spacing w:line="400" w:lineRule="exact"/>
        <w:ind w:firstLine="562" w:firstLineChars="200"/>
        <w:rPr>
          <w:rFonts w:ascii="宋体" w:hAns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四、高校学生行为预警平台建设</w:t>
      </w:r>
    </w:p>
    <w:p>
      <w:pPr>
        <w:spacing w:line="4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（一）平台设计与架构</w:t>
      </w:r>
    </w:p>
    <w:p>
      <w:pPr>
        <w:spacing w:line="400" w:lineRule="exact"/>
        <w:jc w:val="center"/>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szCs w:val="21"/>
          <w14:textFill>
            <w14:solidFill>
              <w14:schemeClr w14:val="tx1"/>
            </w14:solidFill>
          </w14:textFill>
        </w:rPr>
        <w:t>中南民族大学大数据预警平台架构图</w:t>
      </w:r>
      <w:r>
        <w:rPr>
          <w:rFonts w:hint="eastAsia" w:ascii="Calibri" w:hAnsi="Calibri"/>
          <w:b/>
          <w:color w:val="000000" w:themeColor="text1"/>
          <w:szCs w:val="22"/>
          <w14:textFill>
            <w14:solidFill>
              <w14:schemeClr w14:val="tx1"/>
            </w14:solidFill>
          </w14:textFill>
        </w:rPr>
        <w:drawing>
          <wp:anchor distT="0" distB="0" distL="114300" distR="114300" simplePos="0" relativeHeight="251671552" behindDoc="0" locked="0" layoutInCell="1" allowOverlap="1">
            <wp:simplePos x="0" y="0"/>
            <wp:positionH relativeFrom="column">
              <wp:posOffset>-565150</wp:posOffset>
            </wp:positionH>
            <wp:positionV relativeFrom="paragraph">
              <wp:posOffset>143510</wp:posOffset>
            </wp:positionV>
            <wp:extent cx="6032500" cy="2787650"/>
            <wp:effectExtent l="0" t="0" r="6350" b="12700"/>
            <wp:wrapTopAndBottom/>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6"/>
                    <a:stretch>
                      <a:fillRect/>
                    </a:stretch>
                  </pic:blipFill>
                  <pic:spPr>
                    <a:xfrm>
                      <a:off x="0" y="0"/>
                      <a:ext cx="6032500" cy="2787650"/>
                    </a:xfrm>
                    <a:prstGeom prst="rect">
                      <a:avLst/>
                    </a:prstGeom>
                    <a:noFill/>
                    <a:ln w="9525">
                      <a:noFill/>
                    </a:ln>
                  </pic:spPr>
                </pic:pic>
              </a:graphicData>
            </a:graphic>
          </wp:anchor>
        </w:drawing>
      </w:r>
    </w:p>
    <w:p>
      <w:pPr>
        <w:numPr>
          <w:ilvl w:val="0"/>
          <w:numId w:val="5"/>
        </w:numPr>
        <w:spacing w:line="4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环境搭建</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1.服务器集群搭建。服务器操作系统安装、网络调配。</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2.集群组件安装。NTP服务器安装配置、CDH安装配置、mysql数据库安装、hadoop、flume、zookeeper、hive、spark等组件的安装。</w:t>
      </w:r>
    </w:p>
    <w:p>
      <w:pPr>
        <w:spacing w:line="400" w:lineRule="exact"/>
        <w:ind w:firstLine="482" w:firstLineChars="200"/>
        <w:rPr>
          <w:rFonts w:hint="eastAsia" w:ascii="Times New Roman" w:hAnsi="Times New Roman" w:cs="Times New Roman"/>
          <w:b/>
          <w:bCs/>
          <w:color w:val="000000" w:themeColor="text1"/>
          <w:sz w:val="24"/>
          <w:szCs w:val="24"/>
          <w:shd w:val="clear" w:color="auto" w:fill="FFFFFF"/>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（三）数据采</w:t>
      </w:r>
      <w:r>
        <w:rPr>
          <w:rFonts w:hint="eastAsia" w:ascii="Times New Roman" w:hAnsi="Times New Roman" w:cs="Times New Roman"/>
          <w:b/>
          <w:bCs/>
          <w:color w:val="000000" w:themeColor="text1"/>
          <w:sz w:val="24"/>
          <w:szCs w:val="24"/>
          <w:shd w:val="clear" w:color="auto" w:fill="FFFFFF"/>
          <w14:textFill>
            <w14:solidFill>
              <w14:schemeClr w14:val="tx1"/>
            </w14:solidFill>
          </w14:textFill>
        </w:rPr>
        <w:t>集</w:t>
      </w:r>
    </w:p>
    <w:p>
      <w:pPr>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1.业务系统数据采集：</w:t>
      </w:r>
    </w:p>
    <w:p>
      <w:pPr>
        <w:spacing w:line="400" w:lineRule="exact"/>
        <w:ind w:firstLine="480" w:firstLineChars="20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主要采集以下学校业务系统数据：</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教务管理系统（选课系统）：学生成绩、学生选课信息、学生课表信息、教师开课信息、学生课堂考勤信息、课程信息；</w:t>
      </w:r>
    </w:p>
    <w:p>
      <w:pPr>
        <w:numPr>
          <w:ilvl w:val="0"/>
          <w:numId w:val="6"/>
        </w:numPr>
        <w:spacing w:line="400" w:lineRule="exact"/>
        <w:ind w:left="0" w:leftChars="0" w:firstLine="400" w:firstLineChars="0"/>
        <w:rPr>
          <w:rFonts w:hint="eastAsia" w:ascii="宋体" w:hAnsi="宋体" w:eastAsia="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学生管理信息系统：学生学籍信息、学生资助信息、学生奖惩信息、学生心理健康信息、学生请假信息、辅导员班级对应信息；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一卡通系统：学生账户信息、学生交易信息、商户信息、刷卡机位置信息；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图书管理系统：学生借阅信息、图书馆藏信息；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图书馆门禁系统：学生进出刷卡信息、闸机位置信息；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学生公寓门禁系统：学生进出刷卡信息、闸机位置信息；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上网身份认证系统：无线网上网认证数据、有线网上网认证数据、AP位置信息；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学生学业分析信息：预警信息、学情信息；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离校系统：学生离校信息；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财务系统：学生缴费、欠费；</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学生就业分析系统：学生派遣信息、就业分析报告；</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节能平台：水电信息等、热水信息；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就医系统：学生门诊挂号信息；</w:t>
      </w:r>
    </w:p>
    <w:p>
      <w:pPr>
        <w:numPr>
          <w:ilvl w:val="0"/>
          <w:numId w:val="6"/>
        </w:numPr>
        <w:spacing w:line="400" w:lineRule="exact"/>
        <w:ind w:left="0" w:leftChars="0" w:firstLine="400"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体测系统：体测数据；</w:t>
      </w:r>
    </w:p>
    <w:p>
      <w:pPr>
        <w:numPr>
          <w:ilvl w:val="0"/>
          <w:numId w:val="0"/>
        </w:numPr>
        <w:adjustRightInd w:val="0"/>
        <w:spacing w:line="400" w:lineRule="exact"/>
        <w:ind w:left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机器日志数据采集：AP日志数据、上网行为日志数据等。</w:t>
      </w:r>
    </w:p>
    <w:p>
      <w:pPr>
        <w:adjustRightInd w:val="0"/>
        <w:spacing w:line="400" w:lineRule="exact"/>
        <w:ind w:firstLine="482" w:firstLineChars="200"/>
        <w:rPr>
          <w:rFonts w:hint="eastAsia"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（三）数据管理与利用</w:t>
      </w:r>
    </w:p>
    <w:p>
      <w:pPr>
        <w:numPr>
          <w:ilvl w:val="0"/>
          <w:numId w:val="0"/>
        </w:numPr>
        <w:adjustRightIn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API调用管理。对API的使用情况进行管理，包括API支持应用、API调用等情况进行呈现。另外对API使用定制申请流程，以开发者申请，管理员审核，释放使用权限，完成API的开放使用。</w:t>
      </w:r>
    </w:p>
    <w:p>
      <w:pPr>
        <w:adjustRightInd w:val="0"/>
        <w:spacing w:line="400" w:lineRule="exact"/>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数据源可视化。对接入平台的数据进行独立页面管理，对结构化数据进行冗余归并、结构统一、清洗等处理，对半结构化日志数据进行清洗和结构化处理，形成标准的API接口，对其数据表结构进行描述，同时描述API调用和返回形式。</w:t>
      </w:r>
    </w:p>
    <w:p>
      <w:pPr>
        <w:adjustRightInd w:val="0"/>
        <w:spacing w:line="400" w:lineRule="exact"/>
        <w:ind w:firstLine="562" w:firstLineChars="200"/>
        <w:rPr>
          <w:rFonts w:hint="eastAsia"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五、预警分析系统成效和应用价值</w:t>
      </w:r>
    </w:p>
    <w:p>
      <w:pPr>
        <w:numPr>
          <w:ilvl w:val="0"/>
          <w:numId w:val="7"/>
        </w:numPr>
        <w:adjustRightInd w:val="0"/>
        <w:spacing w:line="400" w:lineRule="exact"/>
        <w:ind w:firstLine="482" w:firstLineChars="200"/>
        <w:rPr>
          <w:rFonts w:hint="eastAsia" w:ascii="Times New Roman" w:hAnsi="Times New Roman" w:cs="Times New Roman"/>
          <w:color w:val="000000" w:themeColor="text1"/>
          <w:sz w:val="24"/>
          <w:szCs w:val="24"/>
          <w:shd w:val="clear" w:color="auto" w:fill="FFFFFF"/>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为家庭经济困难学生认定提供数据支持。</w:t>
      </w:r>
      <w:r>
        <w:rPr>
          <w:rFonts w:hint="eastAsia" w:ascii="宋体" w:hAnsi="宋体"/>
          <w:color w:val="000000" w:themeColor="text1"/>
          <w:sz w:val="24"/>
          <w:szCs w:val="24"/>
          <w14:textFill>
            <w14:solidFill>
              <w14:schemeClr w14:val="tx1"/>
            </w14:solidFill>
          </w14:textFill>
        </w:rPr>
        <w:t>家庭经济困难学生认定一直是高校资助工作的起点和难点，存在着“高校与当地政府信息不对称”、“唯证明论”等问题，全国资助管理中心多次下文，明确禁止学校要求家庭经济困难学生“上台演讲”、“投票比困”，加之高校缺乏客观的判定手段，造成了家庭经济困难认定“水分大”的问题。学生行为预警平台上线后，打破“唯证明论”，通过学生月度、季度消费情况、高消费、低消费、消费频度和单餐消费金额等一卡通消费数据维度进行分析，通过模型综合判定学生在校消费状况，提供消费预警名单给资助中心工作人员及辅导员，及时研判家庭经济困难学生中的“高消费人群”，主动发现并关注非家庭经济困难学生中的“低消费人群”，实现困难生的精准认定，困难生库的动态调整。</w:t>
      </w:r>
    </w:p>
    <w:p>
      <w:pPr>
        <w:numPr>
          <w:ilvl w:val="0"/>
          <w:numId w:val="7"/>
        </w:numPr>
        <w:adjustRightInd w:val="0"/>
        <w:spacing w:line="400" w:lineRule="exact"/>
        <w:ind w:left="0" w:leftChars="0"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为学生突发事件处置提供定位支持</w:t>
      </w:r>
      <w:r>
        <w:rPr>
          <w:rFonts w:hint="eastAsia" w:ascii="宋体" w:hAnsi="宋体"/>
          <w:color w:val="000000" w:themeColor="text1"/>
          <w:sz w:val="24"/>
          <w:szCs w:val="24"/>
          <w14:textFill>
            <w14:solidFill>
              <w14:schemeClr w14:val="tx1"/>
            </w14:solidFill>
          </w14:textFill>
        </w:rPr>
        <w:t>。在发生学生失联、失踪等情况下，学生行为预警平台可以第一时间查询定位学生的校内行为轨迹，明确学生失联失踪前的校内移动轨迹，定位离开学校的最后时间和最后地点，辅助其他机关开展后续工作。</w:t>
      </w:r>
    </w:p>
    <w:p>
      <w:pPr>
        <w:ind w:firstLine="482" w:firstLineChars="200"/>
        <w:rPr>
          <w:rFonts w:hint="eastAsia" w:ascii="宋体" w:hAnsi="宋体"/>
          <w:color w:val="000000" w:themeColor="text1"/>
          <w:sz w:val="24"/>
          <w:szCs w:val="24"/>
          <w14:textFill>
            <w14:solidFill>
              <w14:schemeClr w14:val="tx1"/>
            </w14:solidFill>
          </w14:textFill>
        </w:rPr>
      </w:pPr>
      <w:r>
        <w:rPr>
          <w:rFonts w:hint="eastAsia" w:ascii="宋体" w:hAnsi="宋体"/>
          <w:b/>
          <w:color w:val="000000" w:themeColor="text1"/>
          <w:sz w:val="24"/>
          <w:szCs w:val="24"/>
          <w:lang w:eastAsia="zh-CN"/>
          <w14:textFill>
            <w14:solidFill>
              <w14:schemeClr w14:val="tx1"/>
            </w14:solidFill>
          </w14:textFill>
        </w:rPr>
        <w:t>（三）</w:t>
      </w:r>
      <w:r>
        <w:rPr>
          <w:rFonts w:hint="eastAsia" w:ascii="宋体" w:hAnsi="宋体"/>
          <w:b/>
          <w:color w:val="000000" w:themeColor="text1"/>
          <w:sz w:val="24"/>
          <w:szCs w:val="24"/>
          <w14:textFill>
            <w14:solidFill>
              <w14:schemeClr w14:val="tx1"/>
            </w14:solidFill>
          </w14:textFill>
        </w:rPr>
        <w:t>为高关怀群体管理提供信息支持。</w:t>
      </w:r>
      <w:r>
        <w:rPr>
          <w:rFonts w:hint="eastAsia" w:ascii="宋体" w:hAnsi="宋体"/>
          <w:color w:val="000000" w:themeColor="text1"/>
          <w:sz w:val="24"/>
          <w:szCs w:val="24"/>
          <w14:textFill>
            <w14:solidFill>
              <w14:schemeClr w14:val="tx1"/>
            </w14:solidFill>
          </w14:textFill>
        </w:rPr>
        <w:t>学生行为预警平台可以进行学生群体定义，为学校重点关注的高危学生群体、重点学生群体单独建立预警机制，监测学生行为动态，及时预警干预。</w:t>
      </w:r>
    </w:p>
    <w:p/>
    <w:p/>
    <w:p>
      <w:pPr>
        <w:ind w:firstLine="480" w:firstLineChars="20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参考文献：</w:t>
      </w:r>
    </w:p>
    <w:p>
      <w:pPr>
        <w:numPr>
          <w:ilvl w:val="0"/>
          <w:numId w:val="8"/>
        </w:numPr>
        <w:ind w:left="425" w:leftChars="0" w:hanging="425" w:firstLineChars="0"/>
        <w:rPr>
          <w:rFonts w:hint="eastAsia" w:ascii="宋体" w:hAnsi="宋体"/>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王林清、马彦周、张建和</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高校学生事务管理规范与服务标准</w:t>
      </w:r>
      <w:r>
        <w:rPr>
          <w:rFonts w:hint="eastAsia" w:ascii="宋体" w:hAnsi="宋体"/>
          <w:color w:val="000000" w:themeColor="text1"/>
          <w:sz w:val="24"/>
          <w:szCs w:val="24"/>
          <w:lang w:eastAsia="zh-CN"/>
          <w14:textFill>
            <w14:solidFill>
              <w14:schemeClr w14:val="tx1"/>
            </w14:solidFill>
          </w14:textFill>
        </w:rPr>
        <w:t>》，北京：</w:t>
      </w:r>
      <w:r>
        <w:rPr>
          <w:rFonts w:hint="eastAsia" w:ascii="宋体" w:hAnsi="宋体"/>
          <w:color w:val="000000" w:themeColor="text1"/>
          <w:sz w:val="24"/>
          <w:szCs w:val="24"/>
          <w14:textFill>
            <w14:solidFill>
              <w14:schemeClr w14:val="tx1"/>
            </w14:solidFill>
          </w14:textFill>
        </w:rPr>
        <w:t>中国文史出版社，2014</w:t>
      </w:r>
      <w:r>
        <w:rPr>
          <w:rFonts w:hint="eastAsia" w:ascii="宋体" w:hAnsi="宋体"/>
          <w:color w:val="000000" w:themeColor="text1"/>
          <w:sz w:val="24"/>
          <w:szCs w:val="24"/>
          <w:lang w:eastAsia="zh-CN"/>
          <w14:textFill>
            <w14:solidFill>
              <w14:schemeClr w14:val="tx1"/>
            </w14:solidFill>
          </w14:textFill>
        </w:rPr>
        <w:t>年。</w:t>
      </w:r>
    </w:p>
    <w:p>
      <w:pPr>
        <w:numPr>
          <w:ilvl w:val="0"/>
          <w:numId w:val="8"/>
        </w:numPr>
        <w:ind w:left="425" w:leftChars="0" w:hanging="425" w:firstLine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陈军：《高校学生工作信息化管理初探》，载《中国青年政治学院学报》2013年第6期。</w:t>
      </w:r>
    </w:p>
    <w:p>
      <w:pPr>
        <w:numPr>
          <w:ilvl w:val="0"/>
          <w:numId w:val="8"/>
        </w:numPr>
        <w:ind w:left="425" w:leftChars="0" w:hanging="425" w:firstLine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贺宇娇：《论高校学生管理预警机制的思想政治教育功能》，载《时代教育》2017年第11期。</w:t>
      </w:r>
    </w:p>
    <w:p>
      <w:pPr>
        <w:rPr>
          <w:rFonts w:hint="eastAsia"/>
          <w:lang w:eastAsia="zh-CN"/>
        </w:rPr>
      </w:pP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4"/>
        <w:snapToGrid w:val="0"/>
        <w:rPr>
          <w:rFonts w:hint="eastAsia"/>
          <w:lang w:val="en-US" w:eastAsia="zh-CN"/>
        </w:rPr>
      </w:pPr>
      <w:r>
        <w:rPr>
          <w:rStyle w:val="6"/>
        </w:rPr>
        <w:footnoteRef/>
      </w:r>
      <w:r>
        <w:t xml:space="preserve"> </w:t>
      </w:r>
      <w:r>
        <w:rPr>
          <w:rFonts w:hint="eastAsia" w:ascii="宋体" w:hAnsi="宋体" w:eastAsia="宋体" w:cs="宋体"/>
          <w:sz w:val="18"/>
          <w:szCs w:val="18"/>
          <w:lang w:eastAsia="zh-CN"/>
        </w:rPr>
        <w:t>作者简介：金星（</w:t>
      </w:r>
      <w:r>
        <w:rPr>
          <w:rFonts w:hint="eastAsia" w:ascii="宋体" w:hAnsi="宋体" w:eastAsia="宋体" w:cs="宋体"/>
          <w:sz w:val="18"/>
          <w:szCs w:val="18"/>
          <w:lang w:val="en-US" w:eastAsia="zh-CN"/>
        </w:rPr>
        <w:t>1986-</w:t>
      </w:r>
      <w:r>
        <w:rPr>
          <w:rFonts w:hint="eastAsia" w:ascii="宋体" w:hAnsi="宋体" w:eastAsia="宋体" w:cs="宋体"/>
          <w:sz w:val="18"/>
          <w:szCs w:val="18"/>
          <w:lang w:eastAsia="zh-CN"/>
        </w:rPr>
        <w:t>），男，中南民族大学学工部，</w:t>
      </w:r>
      <w:r>
        <w:rPr>
          <w:rFonts w:hint="eastAsia" w:ascii="宋体" w:hAnsi="宋体" w:cs="宋体"/>
          <w:sz w:val="18"/>
          <w:szCs w:val="18"/>
          <w:lang w:eastAsia="zh-CN"/>
        </w:rPr>
        <w:t>研究实习员，</w:t>
      </w:r>
      <w:r>
        <w:rPr>
          <w:rFonts w:hint="eastAsia" w:ascii="宋体" w:hAnsi="宋体" w:eastAsia="宋体" w:cs="宋体"/>
          <w:sz w:val="18"/>
          <w:szCs w:val="18"/>
          <w:lang w:eastAsia="zh-CN"/>
        </w:rPr>
        <w:t>博士在读，</w:t>
      </w:r>
      <w:r>
        <w:rPr>
          <w:rFonts w:hint="eastAsia" w:ascii="宋体" w:hAnsi="宋体" w:cs="宋体"/>
          <w:sz w:val="18"/>
          <w:szCs w:val="18"/>
          <w:lang w:eastAsia="zh-CN"/>
        </w:rPr>
        <w:t>主要</w:t>
      </w:r>
      <w:r>
        <w:rPr>
          <w:rFonts w:hint="eastAsia" w:ascii="宋体" w:hAnsi="宋体" w:eastAsia="宋体" w:cs="宋体"/>
          <w:sz w:val="18"/>
          <w:szCs w:val="18"/>
          <w:lang w:eastAsia="zh-CN"/>
        </w:rPr>
        <w:t>从事民族法学、</w:t>
      </w:r>
      <w:r>
        <w:rPr>
          <w:rFonts w:hint="eastAsia" w:ascii="宋体" w:hAnsi="宋体" w:cs="宋体"/>
          <w:sz w:val="18"/>
          <w:szCs w:val="18"/>
          <w:lang w:eastAsia="zh-CN"/>
        </w:rPr>
        <w:t>学生</w:t>
      </w:r>
      <w:r>
        <w:rPr>
          <w:rFonts w:hint="eastAsia" w:ascii="宋体" w:hAnsi="宋体" w:eastAsia="宋体" w:cs="宋体"/>
          <w:sz w:val="18"/>
          <w:szCs w:val="18"/>
          <w:lang w:eastAsia="zh-CN"/>
        </w:rPr>
        <w:t>教育管理服务方面研究</w:t>
      </w:r>
      <w:r>
        <w:rPr>
          <w:rFonts w:hint="eastAsia" w:ascii="宋体" w:hAnsi="宋体" w:cs="宋体"/>
          <w:sz w:val="18"/>
          <w:szCs w:val="18"/>
          <w:lang w:eastAsia="zh-CN"/>
        </w:rPr>
        <w:t>。蓝永丽（</w:t>
      </w:r>
      <w:r>
        <w:rPr>
          <w:rFonts w:hint="eastAsia" w:ascii="宋体" w:hAnsi="宋体" w:cs="宋体"/>
          <w:sz w:val="18"/>
          <w:szCs w:val="18"/>
          <w:lang w:val="en-US" w:eastAsia="zh-CN"/>
        </w:rPr>
        <w:t>1986-</w:t>
      </w:r>
      <w:r>
        <w:rPr>
          <w:rFonts w:hint="eastAsia" w:ascii="宋体" w:hAnsi="宋体" w:cs="宋体"/>
          <w:sz w:val="18"/>
          <w:szCs w:val="18"/>
          <w:lang w:eastAsia="zh-CN"/>
        </w:rPr>
        <w:t>），女，中南民族大学党委宣传部，研究实习员；邵祥东（</w:t>
      </w:r>
      <w:r>
        <w:rPr>
          <w:rFonts w:hint="eastAsia" w:ascii="宋体" w:hAnsi="宋体" w:cs="宋体"/>
          <w:sz w:val="18"/>
          <w:szCs w:val="18"/>
          <w:lang w:val="en-US" w:eastAsia="zh-CN"/>
        </w:rPr>
        <w:t>1985-</w:t>
      </w:r>
      <w:r>
        <w:rPr>
          <w:rFonts w:hint="eastAsia" w:ascii="宋体" w:hAnsi="宋体" w:cs="宋体"/>
          <w:sz w:val="18"/>
          <w:szCs w:val="18"/>
          <w:lang w:eastAsia="zh-CN"/>
        </w:rPr>
        <w:t>），男，中南民族大学科学研究发展院，研究实习员。</w:t>
      </w:r>
    </w:p>
    <w:p>
      <w:pPr>
        <w:pStyle w:val="4"/>
        <w:snapToGrid w:val="0"/>
        <w:ind w:firstLine="180" w:firstLineChars="1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课题项目：湖北省高等学校省级教学研究《民族院校学困生学业精准帮扶问题研究》（项目号：JYSHX17028）的阶段性研究成果之一。</w:t>
      </w:r>
    </w:p>
  </w:footnote>
  <w:footnote w:id="1">
    <w:p>
      <w:pPr>
        <w:pStyle w:val="8"/>
        <w:rPr>
          <w:lang w:eastAsia="zh-CN"/>
        </w:rPr>
      </w:pPr>
      <w:r>
        <w:rPr>
          <w:rStyle w:val="6"/>
        </w:rPr>
        <w:footnoteRef/>
      </w:r>
      <w:r>
        <w:rPr>
          <w:rFonts w:hint="eastAsia"/>
        </w:rPr>
        <w:t>王林清、马彦周、张建和</w:t>
      </w:r>
      <w:r>
        <w:rPr>
          <w:rFonts w:hint="eastAsia"/>
          <w:lang w:eastAsia="zh-CN"/>
        </w:rPr>
        <w:t>：《</w:t>
      </w:r>
      <w:r>
        <w:rPr>
          <w:rFonts w:hint="eastAsia"/>
        </w:rPr>
        <w:t>高校学生事务管理规范与服务标准</w:t>
      </w:r>
      <w:r>
        <w:rPr>
          <w:rFonts w:hint="eastAsia"/>
          <w:lang w:eastAsia="zh-CN"/>
        </w:rPr>
        <w:t>》，</w:t>
      </w:r>
      <w:r>
        <w:rPr>
          <w:rFonts w:hint="eastAsia" w:ascii="Times New Roman"/>
          <w:lang w:eastAsia="zh-CN"/>
        </w:rPr>
        <w:t>北京：</w:t>
      </w:r>
      <w:r>
        <w:rPr>
          <w:rFonts w:hint="eastAsia"/>
        </w:rPr>
        <w:t>中国文史出版社，2014</w:t>
      </w:r>
      <w:r>
        <w:rPr>
          <w:rFonts w:hint="eastAsia"/>
          <w:lang w:eastAsia="zh-CN"/>
        </w:rPr>
        <w:t>。</w:t>
      </w:r>
    </w:p>
  </w:footnote>
  <w:footnote w:id="2">
    <w:p>
      <w:pPr>
        <w:pStyle w:val="8"/>
        <w:rPr>
          <w:rFonts w:hint="eastAsia"/>
        </w:rPr>
      </w:pPr>
      <w:r>
        <w:rPr>
          <w:rStyle w:val="6"/>
        </w:rPr>
        <w:footnoteRef/>
      </w:r>
      <w:r>
        <w:rPr>
          <w:rFonts w:hint="eastAsia"/>
        </w:rPr>
        <w:t>除此处4项使用频度最高的预警外，中南民族大学预警平台还包括网络舆情预警系统、学生学业预警、学生旷课预警等预警功能</w:t>
      </w:r>
    </w:p>
    <w:p>
      <w:pPr>
        <w:pStyle w:val="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0B8ED"/>
    <w:multiLevelType w:val="singleLevel"/>
    <w:tmpl w:val="90B0B8ED"/>
    <w:lvl w:ilvl="0" w:tentative="0">
      <w:start w:val="1"/>
      <w:numFmt w:val="decimal"/>
      <w:lvlText w:val="[%1]"/>
      <w:lvlJc w:val="left"/>
      <w:pPr>
        <w:tabs>
          <w:tab w:val="left" w:pos="420"/>
        </w:tabs>
        <w:ind w:left="425" w:leftChars="0" w:hanging="425" w:firstLineChars="0"/>
      </w:pPr>
      <w:rPr>
        <w:rFonts w:hint="default"/>
      </w:rPr>
    </w:lvl>
  </w:abstractNum>
  <w:abstractNum w:abstractNumId="1">
    <w:nsid w:val="A5D6CC5F"/>
    <w:multiLevelType w:val="singleLevel"/>
    <w:tmpl w:val="A5D6CC5F"/>
    <w:lvl w:ilvl="0" w:tentative="0">
      <w:start w:val="2"/>
      <w:numFmt w:val="chineseCounting"/>
      <w:suff w:val="nothing"/>
      <w:lvlText w:val="（%1）"/>
      <w:lvlJc w:val="left"/>
      <w:rPr>
        <w:rFonts w:hint="eastAsia"/>
      </w:rPr>
    </w:lvl>
  </w:abstractNum>
  <w:abstractNum w:abstractNumId="2">
    <w:nsid w:val="B1BC0A67"/>
    <w:multiLevelType w:val="singleLevel"/>
    <w:tmpl w:val="B1BC0A67"/>
    <w:lvl w:ilvl="0" w:tentative="0">
      <w:start w:val="1"/>
      <w:numFmt w:val="decimalEnclosedCircleChinese"/>
      <w:suff w:val="nothing"/>
      <w:lvlText w:val="%1　"/>
      <w:lvlJc w:val="left"/>
      <w:pPr>
        <w:ind w:left="0" w:firstLine="400"/>
      </w:pPr>
      <w:rPr>
        <w:rFonts w:hint="eastAsia"/>
      </w:rPr>
    </w:lvl>
  </w:abstractNum>
  <w:abstractNum w:abstractNumId="3">
    <w:nsid w:val="E77D0571"/>
    <w:multiLevelType w:val="singleLevel"/>
    <w:tmpl w:val="E77D0571"/>
    <w:lvl w:ilvl="0" w:tentative="0">
      <w:start w:val="1"/>
      <w:numFmt w:val="chineseCounting"/>
      <w:suff w:val="nothing"/>
      <w:lvlText w:val="（%1）"/>
      <w:lvlJc w:val="left"/>
      <w:rPr>
        <w:rFonts w:hint="eastAsia"/>
      </w:rPr>
    </w:lvl>
  </w:abstractNum>
  <w:abstractNum w:abstractNumId="4">
    <w:nsid w:val="F14D9699"/>
    <w:multiLevelType w:val="singleLevel"/>
    <w:tmpl w:val="F14D9699"/>
    <w:lvl w:ilvl="0" w:tentative="0">
      <w:start w:val="1"/>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1"/>
      <w:lvlJc w:val="left"/>
      <w:pPr>
        <w:tabs>
          <w:tab w:val="left" w:pos="612"/>
        </w:tabs>
        <w:ind w:left="612" w:hanging="432"/>
      </w:pPr>
      <w:rPr>
        <w:rFonts w:hint="eastAsia"/>
      </w:rPr>
    </w:lvl>
    <w:lvl w:ilvl="1" w:tentative="0">
      <w:start w:val="1"/>
      <w:numFmt w:val="decimal"/>
      <w:pStyle w:val="2"/>
      <w:lvlText w:val="%1.%2"/>
      <w:lvlJc w:val="left"/>
      <w:pPr>
        <w:tabs>
          <w:tab w:val="left" w:pos="936"/>
        </w:tabs>
        <w:ind w:left="936" w:hanging="576"/>
      </w:pPr>
      <w:rPr>
        <w:rFonts w:hint="eastAsia"/>
      </w:rPr>
    </w:lvl>
    <w:lvl w:ilvl="2" w:tentative="0">
      <w:start w:val="1"/>
      <w:numFmt w:val="decimal"/>
      <w:lvlText w:val="%1.%2.%3"/>
      <w:lvlJc w:val="left"/>
      <w:pPr>
        <w:tabs>
          <w:tab w:val="left" w:pos="900"/>
        </w:tabs>
        <w:ind w:left="900" w:hanging="720"/>
      </w:pPr>
      <w:rPr>
        <w:rFonts w:hint="eastAsia"/>
      </w:rPr>
    </w:lvl>
    <w:lvl w:ilvl="3" w:tentative="0">
      <w:start w:val="1"/>
      <w:numFmt w:val="decimal"/>
      <w:lvlText w:val="%1.%2.%3.%4"/>
      <w:lvlJc w:val="left"/>
      <w:pPr>
        <w:tabs>
          <w:tab w:val="left" w:pos="1044"/>
        </w:tabs>
        <w:ind w:left="1044" w:hanging="864"/>
      </w:pPr>
      <w:rPr>
        <w:rFonts w:hint="eastAsia"/>
      </w:rPr>
    </w:lvl>
    <w:lvl w:ilvl="4" w:tentative="0">
      <w:start w:val="1"/>
      <w:numFmt w:val="decimal"/>
      <w:lvlText w:val="%1.%2.%3.%4.%5"/>
      <w:lvlJc w:val="left"/>
      <w:pPr>
        <w:tabs>
          <w:tab w:val="left" w:pos="1188"/>
        </w:tabs>
        <w:ind w:left="1188" w:hanging="1008"/>
      </w:pPr>
      <w:rPr>
        <w:rFonts w:hint="eastAsia"/>
      </w:rPr>
    </w:lvl>
    <w:lvl w:ilvl="5" w:tentative="0">
      <w:start w:val="1"/>
      <w:numFmt w:val="decimal"/>
      <w:lvlText w:val="%1.%2.%3.%4.%5.%6"/>
      <w:lvlJc w:val="left"/>
      <w:pPr>
        <w:tabs>
          <w:tab w:val="left" w:pos="1332"/>
        </w:tabs>
        <w:ind w:left="1332" w:hanging="1152"/>
      </w:pPr>
      <w:rPr>
        <w:rFonts w:hint="eastAsia"/>
      </w:rPr>
    </w:lvl>
    <w:lvl w:ilvl="6" w:tentative="0">
      <w:start w:val="1"/>
      <w:numFmt w:val="decimal"/>
      <w:lvlText w:val="%1.%2.%3.%4.%5.%6.%7"/>
      <w:lvlJc w:val="left"/>
      <w:pPr>
        <w:tabs>
          <w:tab w:val="left" w:pos="1476"/>
        </w:tabs>
        <w:ind w:left="1476" w:hanging="1296"/>
      </w:pPr>
      <w:rPr>
        <w:rFonts w:hint="eastAsia"/>
      </w:rPr>
    </w:lvl>
    <w:lvl w:ilvl="7" w:tentative="0">
      <w:start w:val="1"/>
      <w:numFmt w:val="decimal"/>
      <w:lvlText w:val="%1.%2.%3.%4.%5.%6.%7.%8"/>
      <w:lvlJc w:val="left"/>
      <w:pPr>
        <w:tabs>
          <w:tab w:val="left" w:pos="1620"/>
        </w:tabs>
        <w:ind w:left="1620" w:hanging="1440"/>
      </w:pPr>
      <w:rPr>
        <w:rFonts w:hint="eastAsia"/>
      </w:rPr>
    </w:lvl>
    <w:lvl w:ilvl="8" w:tentative="0">
      <w:start w:val="1"/>
      <w:numFmt w:val="decimal"/>
      <w:lvlText w:val="%1.%2.%3.%4.%5.%6.%7.%8.%9"/>
      <w:lvlJc w:val="left"/>
      <w:pPr>
        <w:tabs>
          <w:tab w:val="left" w:pos="1764"/>
        </w:tabs>
        <w:ind w:left="1764" w:hanging="1584"/>
      </w:pPr>
      <w:rPr>
        <w:rFonts w:hint="eastAsia"/>
      </w:rPr>
    </w:lvl>
  </w:abstractNum>
  <w:abstractNum w:abstractNumId="6">
    <w:nsid w:val="3D8DE1FE"/>
    <w:multiLevelType w:val="singleLevel"/>
    <w:tmpl w:val="3D8DE1FE"/>
    <w:lvl w:ilvl="0" w:tentative="0">
      <w:start w:val="1"/>
      <w:numFmt w:val="chineseCounting"/>
      <w:suff w:val="nothing"/>
      <w:lvlText w:val="（%1）"/>
      <w:lvlJc w:val="left"/>
      <w:rPr>
        <w:rFonts w:hint="eastAsia"/>
      </w:rPr>
    </w:lvl>
  </w:abstractNum>
  <w:abstractNum w:abstractNumId="7">
    <w:nsid w:val="78FE5395"/>
    <w:multiLevelType w:val="singleLevel"/>
    <w:tmpl w:val="78FE5395"/>
    <w:lvl w:ilvl="0" w:tentative="0">
      <w:start w:val="1"/>
      <w:numFmt w:val="chineseCounting"/>
      <w:suff w:val="nothing"/>
      <w:lvlText w:val="（%1）"/>
      <w:lvlJc w:val="left"/>
      <w:rPr>
        <w:rFonts w:hint="eastAsia"/>
      </w:rPr>
    </w:lvl>
  </w:abstractNum>
  <w:num w:numId="1">
    <w:abstractNumId w:val="5"/>
  </w:num>
  <w:num w:numId="2">
    <w:abstractNumId w:val="4"/>
  </w:num>
  <w:num w:numId="3">
    <w:abstractNumId w:val="7"/>
  </w:num>
  <w:num w:numId="4">
    <w:abstractNumId w:val="3"/>
  </w:num>
  <w:num w:numId="5">
    <w:abstractNumId w:val="1"/>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55036"/>
    <w:rsid w:val="0F34477D"/>
    <w:rsid w:val="12DC37D7"/>
    <w:rsid w:val="1CD55036"/>
    <w:rsid w:val="1F8C026E"/>
    <w:rsid w:val="2F6A2B5C"/>
    <w:rsid w:val="314E1551"/>
    <w:rsid w:val="329F6609"/>
    <w:rsid w:val="34976214"/>
    <w:rsid w:val="7BFE3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kern w:val="0"/>
      <w:sz w:val="32"/>
      <w:szCs w:val="32"/>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footnote text"/>
    <w:basedOn w:val="1"/>
    <w:unhideWhenUsed/>
    <w:qFormat/>
    <w:uiPriority w:val="99"/>
    <w:pPr>
      <w:snapToGrid w:val="0"/>
      <w:jc w:val="left"/>
    </w:pPr>
    <w:rPr>
      <w:kern w:val="0"/>
      <w:sz w:val="18"/>
      <w:szCs w:val="18"/>
    </w:rPr>
  </w:style>
  <w:style w:type="character" w:styleId="6">
    <w:name w:val="footnote reference"/>
    <w:unhideWhenUsed/>
    <w:qFormat/>
    <w:uiPriority w:val="99"/>
    <w:rPr>
      <w:vertAlign w:val="superscript"/>
    </w:rPr>
  </w:style>
  <w:style w:type="paragraph" w:customStyle="1" w:styleId="8">
    <w:name w:val="脚注文本1"/>
    <w:basedOn w:val="1"/>
    <w:next w:val="4"/>
    <w:unhideWhenUsed/>
    <w:qFormat/>
    <w:uiPriority w:val="99"/>
    <w:pPr>
      <w:snapToGrid w:val="0"/>
      <w:jc w:val="left"/>
    </w:pPr>
    <w:rPr>
      <w:rFonts w:ascii="Calibri" w:hAnsi="Calibri"/>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2019-01-16T01:57:00Z</dcterms:created>
  <dc:creator>只為ě你</dc:creator>
  <cp:lastModifiedBy>只為ě你</cp:lastModifiedBy>
  <dcterms:modified xsi:type="dcterms:W3CDTF">2019-01-16T09:01:32Z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