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A9" w:rsidRPr="00FA2CA9" w:rsidRDefault="00FA2CA9" w:rsidP="00FA2CA9">
      <w:pPr>
        <w:adjustRightInd w:val="0"/>
        <w:snapToGrid w:val="0"/>
        <w:spacing w:line="360" w:lineRule="auto"/>
        <w:rPr>
          <w:rFonts w:asciiTheme="minorEastAsia" w:eastAsiaTheme="minorEastAsia" w:hAnsiTheme="minorEastAsia" w:hint="eastAsia"/>
          <w:sz w:val="28"/>
          <w:szCs w:val="28"/>
        </w:rPr>
      </w:pPr>
      <w:r w:rsidRPr="00FA2CA9">
        <w:rPr>
          <w:rFonts w:asciiTheme="minorEastAsia" w:eastAsiaTheme="minorEastAsia" w:hAnsiTheme="minorEastAsia" w:hint="eastAsia"/>
          <w:sz w:val="28"/>
          <w:szCs w:val="28"/>
        </w:rPr>
        <w:t>项目名称：高效光驱动污染控制催化材料的制备及应用基础研究</w:t>
      </w:r>
    </w:p>
    <w:p w:rsidR="00FA2CA9" w:rsidRPr="00FA2CA9" w:rsidRDefault="00FA2CA9" w:rsidP="00FA2CA9">
      <w:pPr>
        <w:adjustRightInd w:val="0"/>
        <w:snapToGrid w:val="0"/>
        <w:spacing w:line="360" w:lineRule="auto"/>
        <w:rPr>
          <w:rFonts w:asciiTheme="minorEastAsia" w:eastAsiaTheme="minorEastAsia" w:hAnsiTheme="minorEastAsia"/>
          <w:sz w:val="28"/>
          <w:szCs w:val="28"/>
        </w:rPr>
      </w:pPr>
      <w:r w:rsidRPr="00FA2CA9">
        <w:rPr>
          <w:rFonts w:asciiTheme="minorEastAsia" w:eastAsiaTheme="minorEastAsia" w:hAnsiTheme="minorEastAsia" w:hint="eastAsia"/>
          <w:sz w:val="28"/>
          <w:szCs w:val="28"/>
        </w:rPr>
        <w:t>提名者：中南民族大学</w:t>
      </w:r>
    </w:p>
    <w:p w:rsidR="00FA2CA9" w:rsidRPr="00FA2CA9" w:rsidRDefault="00FA2CA9" w:rsidP="00FA2CA9">
      <w:pPr>
        <w:widowControl/>
        <w:adjustRightInd w:val="0"/>
        <w:snapToGrid w:val="0"/>
        <w:spacing w:line="360" w:lineRule="auto"/>
        <w:jc w:val="left"/>
        <w:rPr>
          <w:rFonts w:asciiTheme="minorEastAsia" w:eastAsiaTheme="minorEastAsia" w:hAnsiTheme="minorEastAsia" w:hint="eastAsia"/>
          <w:sz w:val="28"/>
          <w:szCs w:val="28"/>
        </w:rPr>
      </w:pPr>
      <w:r w:rsidRPr="00FA2CA9">
        <w:rPr>
          <w:rFonts w:asciiTheme="minorEastAsia" w:eastAsiaTheme="minorEastAsia" w:hAnsiTheme="minorEastAsia" w:hint="eastAsia"/>
          <w:sz w:val="28"/>
          <w:szCs w:val="28"/>
        </w:rPr>
        <w:t>提名意见：</w:t>
      </w:r>
    </w:p>
    <w:p w:rsidR="00FA2CA9" w:rsidRPr="00FA2CA9" w:rsidRDefault="00FA2CA9" w:rsidP="00FA2CA9">
      <w:pPr>
        <w:widowControl/>
        <w:adjustRightInd w:val="0"/>
        <w:snapToGrid w:val="0"/>
        <w:spacing w:line="360" w:lineRule="auto"/>
        <w:ind w:firstLineChars="200" w:firstLine="560"/>
        <w:jc w:val="left"/>
        <w:rPr>
          <w:rFonts w:asciiTheme="minorEastAsia" w:eastAsiaTheme="minorEastAsia" w:hAnsiTheme="minorEastAsia"/>
          <w:sz w:val="28"/>
          <w:szCs w:val="28"/>
        </w:rPr>
      </w:pPr>
      <w:r w:rsidRPr="00FA2CA9">
        <w:rPr>
          <w:rFonts w:asciiTheme="minorEastAsia" w:eastAsiaTheme="minorEastAsia" w:hAnsiTheme="minorEastAsia"/>
          <w:sz w:val="28"/>
          <w:szCs w:val="28"/>
        </w:rPr>
        <w:t>项目针对代表性光催化材料TiO</w:t>
      </w:r>
      <w:r w:rsidRPr="00FA2CA9">
        <w:rPr>
          <w:rFonts w:asciiTheme="minorEastAsia" w:eastAsiaTheme="minorEastAsia" w:hAnsiTheme="minorEastAsia"/>
          <w:sz w:val="28"/>
          <w:szCs w:val="28"/>
          <w:vertAlign w:val="subscript"/>
        </w:rPr>
        <w:t>2</w:t>
      </w:r>
      <w:r w:rsidRPr="00FA2CA9">
        <w:rPr>
          <w:rFonts w:asciiTheme="minorEastAsia" w:eastAsiaTheme="minorEastAsia" w:hAnsiTheme="minorEastAsia"/>
          <w:sz w:val="28"/>
          <w:szCs w:val="28"/>
        </w:rPr>
        <w:t>和g-C</w:t>
      </w:r>
      <w:r w:rsidRPr="00FA2CA9">
        <w:rPr>
          <w:rFonts w:asciiTheme="minorEastAsia" w:eastAsiaTheme="minorEastAsia" w:hAnsiTheme="minorEastAsia"/>
          <w:sz w:val="28"/>
          <w:szCs w:val="28"/>
          <w:vertAlign w:val="subscript"/>
        </w:rPr>
        <w:t>3</w:t>
      </w:r>
      <w:r w:rsidRPr="00FA2CA9">
        <w:rPr>
          <w:rFonts w:asciiTheme="minorEastAsia" w:eastAsiaTheme="minorEastAsia" w:hAnsiTheme="minorEastAsia"/>
          <w:sz w:val="28"/>
          <w:szCs w:val="28"/>
        </w:rPr>
        <w:t>N</w:t>
      </w:r>
      <w:r w:rsidRPr="00FA2CA9">
        <w:rPr>
          <w:rFonts w:asciiTheme="minorEastAsia" w:eastAsiaTheme="minorEastAsia" w:hAnsiTheme="minorEastAsia"/>
          <w:sz w:val="28"/>
          <w:szCs w:val="28"/>
          <w:vertAlign w:val="subscript"/>
        </w:rPr>
        <w:t>4</w:t>
      </w:r>
      <w:r w:rsidRPr="00FA2CA9">
        <w:rPr>
          <w:rFonts w:asciiTheme="minorEastAsia" w:eastAsiaTheme="minorEastAsia" w:hAnsiTheme="minorEastAsia"/>
          <w:sz w:val="28"/>
          <w:szCs w:val="28"/>
        </w:rPr>
        <w:t>的制备及其在环境领域中的应用，开展了系统深入的研究工作，在表面化学和空心结构制备，以及污染物光催化降解等方面取得了若干创新性研究成果，项目在国际上发展了高活性 TiO</w:t>
      </w:r>
      <w:r w:rsidRPr="00FA2CA9">
        <w:rPr>
          <w:rFonts w:asciiTheme="minorEastAsia" w:eastAsiaTheme="minorEastAsia" w:hAnsiTheme="minorEastAsia"/>
          <w:sz w:val="28"/>
          <w:szCs w:val="28"/>
          <w:vertAlign w:val="subscript"/>
        </w:rPr>
        <w:t>2</w:t>
      </w:r>
      <w:r w:rsidRPr="00FA2CA9">
        <w:rPr>
          <w:rFonts w:asciiTheme="minorEastAsia" w:eastAsiaTheme="minorEastAsia" w:hAnsiTheme="minorEastAsia"/>
          <w:sz w:val="28"/>
          <w:szCs w:val="28"/>
        </w:rPr>
        <w:t xml:space="preserve"> 和g-C</w:t>
      </w:r>
      <w:r w:rsidRPr="00FA2CA9">
        <w:rPr>
          <w:rFonts w:asciiTheme="minorEastAsia" w:eastAsiaTheme="minorEastAsia" w:hAnsiTheme="minorEastAsia"/>
          <w:sz w:val="28"/>
          <w:szCs w:val="28"/>
          <w:vertAlign w:val="subscript"/>
        </w:rPr>
        <w:t>3</w:t>
      </w:r>
      <w:r w:rsidRPr="00FA2CA9">
        <w:rPr>
          <w:rFonts w:asciiTheme="minorEastAsia" w:eastAsiaTheme="minorEastAsia" w:hAnsiTheme="minorEastAsia"/>
          <w:sz w:val="28"/>
          <w:szCs w:val="28"/>
        </w:rPr>
        <w:t>N</w:t>
      </w:r>
      <w:r w:rsidRPr="00FA2CA9">
        <w:rPr>
          <w:rFonts w:asciiTheme="minorEastAsia" w:eastAsiaTheme="minorEastAsia" w:hAnsiTheme="minorEastAsia"/>
          <w:sz w:val="28"/>
          <w:szCs w:val="28"/>
          <w:vertAlign w:val="subscript"/>
        </w:rPr>
        <w:t>4</w:t>
      </w:r>
      <w:r w:rsidRPr="00FA2CA9">
        <w:rPr>
          <w:rFonts w:asciiTheme="minorEastAsia" w:eastAsiaTheme="minorEastAsia" w:hAnsiTheme="minorEastAsia"/>
          <w:sz w:val="28"/>
          <w:szCs w:val="28"/>
        </w:rPr>
        <w:t>及其复合光催化材料的合成方法和微结构调控策略，提出了具有理论指导意义的光催化材料活性增强机制，阐明了高活性光催化材料制备方法、微结构调控与性能增强之间的关系，实现了通过界面微结构调控增强材料的宏观光催化性能。</w:t>
      </w:r>
    </w:p>
    <w:p w:rsidR="00FA2CA9" w:rsidRPr="00FA2CA9" w:rsidRDefault="00FA2CA9" w:rsidP="00FA2CA9">
      <w:pPr>
        <w:widowControl/>
        <w:adjustRightInd w:val="0"/>
        <w:snapToGrid w:val="0"/>
        <w:spacing w:line="360" w:lineRule="auto"/>
        <w:ind w:firstLineChars="200" w:firstLine="560"/>
        <w:jc w:val="left"/>
        <w:rPr>
          <w:rFonts w:asciiTheme="minorEastAsia" w:eastAsiaTheme="minorEastAsia" w:hAnsiTheme="minorEastAsia"/>
          <w:sz w:val="28"/>
          <w:szCs w:val="28"/>
        </w:rPr>
      </w:pPr>
      <w:r w:rsidRPr="00FA2CA9">
        <w:rPr>
          <w:rFonts w:asciiTheme="minorEastAsia" w:eastAsiaTheme="minorEastAsia" w:hAnsiTheme="minorEastAsia" w:cs="STSong-Light"/>
          <w:color w:val="000000"/>
          <w:kern w:val="0"/>
          <w:sz w:val="28"/>
          <w:szCs w:val="28"/>
          <w:lang w:bidi="ar"/>
        </w:rPr>
        <w:t>项目在Appl</w:t>
      </w:r>
      <w:r w:rsidRPr="00FA2CA9">
        <w:rPr>
          <w:rFonts w:asciiTheme="minorEastAsia" w:eastAsiaTheme="minorEastAsia" w:hAnsiTheme="minorEastAsia" w:cs="STSong-Light" w:hint="eastAsia"/>
          <w:color w:val="000000"/>
          <w:kern w:val="0"/>
          <w:sz w:val="28"/>
          <w:szCs w:val="28"/>
          <w:lang w:bidi="ar"/>
        </w:rPr>
        <w:t>ied</w:t>
      </w:r>
      <w:r w:rsidRPr="00FA2CA9">
        <w:rPr>
          <w:rFonts w:asciiTheme="minorEastAsia" w:eastAsiaTheme="minorEastAsia" w:hAnsiTheme="minorEastAsia" w:cs="STSong-Light"/>
          <w:color w:val="000000"/>
          <w:kern w:val="0"/>
          <w:sz w:val="28"/>
          <w:szCs w:val="28"/>
          <w:lang w:bidi="ar"/>
        </w:rPr>
        <w:t xml:space="preserve"> Cata</w:t>
      </w:r>
      <w:r w:rsidRPr="00FA2CA9">
        <w:rPr>
          <w:rFonts w:asciiTheme="minorEastAsia" w:eastAsiaTheme="minorEastAsia" w:hAnsiTheme="minorEastAsia" w:cs="STSong-Light" w:hint="eastAsia"/>
          <w:color w:val="000000"/>
          <w:kern w:val="0"/>
          <w:sz w:val="28"/>
          <w:szCs w:val="28"/>
          <w:lang w:bidi="ar"/>
        </w:rPr>
        <w:t>lysis</w:t>
      </w:r>
      <w:r w:rsidRPr="00FA2CA9">
        <w:rPr>
          <w:rFonts w:asciiTheme="minorEastAsia" w:eastAsiaTheme="minorEastAsia" w:hAnsiTheme="minorEastAsia" w:cs="STSong-Light"/>
          <w:color w:val="000000"/>
          <w:kern w:val="0"/>
          <w:sz w:val="28"/>
          <w:szCs w:val="28"/>
          <w:lang w:bidi="ar"/>
        </w:rPr>
        <w:t xml:space="preserve"> B：Environ</w:t>
      </w:r>
      <w:r w:rsidRPr="00FA2CA9">
        <w:rPr>
          <w:rFonts w:asciiTheme="minorEastAsia" w:eastAsiaTheme="minorEastAsia" w:hAnsiTheme="minorEastAsia" w:cs="STSong-Light" w:hint="eastAsia"/>
          <w:color w:val="000000"/>
          <w:kern w:val="0"/>
          <w:sz w:val="28"/>
          <w:szCs w:val="28"/>
          <w:lang w:bidi="ar"/>
        </w:rPr>
        <w:t>mental和Chinese Journal of Catalysis</w:t>
      </w:r>
      <w:r w:rsidRPr="00FA2CA9">
        <w:rPr>
          <w:rFonts w:asciiTheme="minorEastAsia" w:eastAsiaTheme="minorEastAsia" w:hAnsiTheme="minorEastAsia" w:cs="STSong-Light"/>
          <w:color w:val="000000"/>
          <w:kern w:val="0"/>
          <w:sz w:val="28"/>
          <w:szCs w:val="28"/>
          <w:lang w:bidi="ar"/>
        </w:rPr>
        <w:t>等多种国际著名期刊上发表SCI论文60余篇，</w:t>
      </w:r>
      <w:r w:rsidRPr="00FA2CA9">
        <w:rPr>
          <w:rFonts w:asciiTheme="minorEastAsia" w:eastAsiaTheme="minorEastAsia" w:hAnsiTheme="minorEastAsia" w:cs="STSong-Light" w:hint="eastAsia"/>
          <w:color w:val="000000"/>
          <w:kern w:val="0"/>
          <w:sz w:val="28"/>
          <w:szCs w:val="28"/>
          <w:lang w:bidi="ar"/>
        </w:rPr>
        <w:t>5</w:t>
      </w:r>
      <w:r w:rsidRPr="00FA2CA9">
        <w:rPr>
          <w:rFonts w:asciiTheme="minorEastAsia" w:eastAsiaTheme="minorEastAsia" w:hAnsiTheme="minorEastAsia" w:cs="STSong-Light"/>
          <w:color w:val="000000"/>
          <w:kern w:val="0"/>
          <w:sz w:val="28"/>
          <w:szCs w:val="28"/>
          <w:lang w:bidi="ar"/>
        </w:rPr>
        <w:t>篇代表性论 文被Chem. Rev.和Chem. Soc. Rev.等SCI他引</w:t>
      </w:r>
      <w:r w:rsidRPr="00FA2CA9">
        <w:rPr>
          <w:rFonts w:asciiTheme="minorEastAsia" w:eastAsiaTheme="minorEastAsia" w:hAnsiTheme="minorEastAsia" w:cs="STSong-Light" w:hint="eastAsia"/>
          <w:color w:val="000000"/>
          <w:kern w:val="0"/>
          <w:sz w:val="28"/>
          <w:szCs w:val="28"/>
          <w:lang w:bidi="ar"/>
        </w:rPr>
        <w:t>604</w:t>
      </w:r>
      <w:r w:rsidRPr="00FA2CA9">
        <w:rPr>
          <w:rFonts w:asciiTheme="minorEastAsia" w:eastAsiaTheme="minorEastAsia" w:hAnsiTheme="minorEastAsia" w:cs="STSong-Light"/>
          <w:color w:val="000000"/>
          <w:kern w:val="0"/>
          <w:sz w:val="28"/>
          <w:szCs w:val="28"/>
          <w:lang w:bidi="ar"/>
        </w:rPr>
        <w:t>次，</w:t>
      </w:r>
      <w:r w:rsidRPr="00FA2CA9">
        <w:rPr>
          <w:rFonts w:asciiTheme="minorEastAsia" w:eastAsiaTheme="minorEastAsia" w:hAnsiTheme="minorEastAsia"/>
          <w:sz w:val="28"/>
          <w:szCs w:val="28"/>
        </w:rPr>
        <w:t>单篇最高SCI他引271次，</w:t>
      </w:r>
      <w:r w:rsidRPr="00FA2CA9">
        <w:rPr>
          <w:rFonts w:asciiTheme="minorEastAsia" w:eastAsiaTheme="minorEastAsia" w:hAnsiTheme="minorEastAsia" w:cs="STSong-Light"/>
          <w:color w:val="000000"/>
          <w:kern w:val="0"/>
          <w:sz w:val="28"/>
          <w:szCs w:val="28"/>
          <w:lang w:bidi="ar"/>
        </w:rPr>
        <w:t xml:space="preserve">取得了一系列重大科学发现，产生了较大的国际国内影响。该项目已经在中南民族大学网站公示，公示期满无异议，同意推荐该项目申报湖北省自然科学奖一等奖。 </w:t>
      </w:r>
    </w:p>
    <w:p w:rsidR="00FA2CA9" w:rsidRPr="00FA2CA9" w:rsidRDefault="00FA2CA9" w:rsidP="00FA2CA9">
      <w:pPr>
        <w:adjustRightInd w:val="0"/>
        <w:snapToGrid w:val="0"/>
        <w:spacing w:line="360" w:lineRule="auto"/>
        <w:rPr>
          <w:rFonts w:asciiTheme="minorEastAsia" w:eastAsiaTheme="minorEastAsia" w:hAnsiTheme="minorEastAsia" w:hint="eastAsia"/>
          <w:sz w:val="28"/>
          <w:szCs w:val="28"/>
        </w:rPr>
      </w:pPr>
    </w:p>
    <w:p w:rsidR="00FA2CA9" w:rsidRPr="00FA2CA9" w:rsidRDefault="00FA2CA9" w:rsidP="00FA2CA9">
      <w:pPr>
        <w:adjustRightInd w:val="0"/>
        <w:snapToGrid w:val="0"/>
        <w:spacing w:line="360" w:lineRule="auto"/>
        <w:rPr>
          <w:rFonts w:asciiTheme="minorEastAsia" w:eastAsiaTheme="minorEastAsia" w:hAnsiTheme="minorEastAsia" w:hint="eastAsia"/>
          <w:sz w:val="28"/>
          <w:szCs w:val="28"/>
        </w:rPr>
      </w:pPr>
      <w:r w:rsidRPr="00FA2CA9">
        <w:rPr>
          <w:rFonts w:asciiTheme="minorEastAsia" w:eastAsiaTheme="minorEastAsia" w:hAnsiTheme="minorEastAsia" w:hint="eastAsia"/>
          <w:sz w:val="28"/>
          <w:szCs w:val="28"/>
        </w:rPr>
        <w:t>项目简介：</w:t>
      </w:r>
    </w:p>
    <w:p w:rsidR="00FA2CA9" w:rsidRPr="00FA2CA9" w:rsidRDefault="00FA2CA9" w:rsidP="00FA2CA9">
      <w:pPr>
        <w:adjustRightInd w:val="0"/>
        <w:snapToGrid w:val="0"/>
        <w:spacing w:line="360" w:lineRule="auto"/>
        <w:ind w:firstLineChars="200" w:firstLine="560"/>
        <w:rPr>
          <w:rFonts w:asciiTheme="minorEastAsia" w:eastAsiaTheme="minorEastAsia" w:hAnsiTheme="minorEastAsia"/>
          <w:sz w:val="28"/>
          <w:szCs w:val="28"/>
        </w:rPr>
      </w:pPr>
      <w:r w:rsidRPr="00FA2CA9">
        <w:rPr>
          <w:rFonts w:asciiTheme="minorEastAsia" w:eastAsiaTheme="minorEastAsia" w:hAnsiTheme="minorEastAsia"/>
          <w:sz w:val="28"/>
          <w:szCs w:val="28"/>
        </w:rPr>
        <w:t>项目属污染控制领域。</w:t>
      </w:r>
    </w:p>
    <w:p w:rsidR="00FA2CA9" w:rsidRPr="00FA2CA9" w:rsidRDefault="00FA2CA9" w:rsidP="00FA2CA9">
      <w:pPr>
        <w:adjustRightInd w:val="0"/>
        <w:snapToGrid w:val="0"/>
        <w:spacing w:line="360" w:lineRule="auto"/>
        <w:rPr>
          <w:rFonts w:asciiTheme="minorEastAsia" w:eastAsiaTheme="minorEastAsia" w:hAnsiTheme="minorEastAsia"/>
          <w:sz w:val="28"/>
          <w:szCs w:val="28"/>
        </w:rPr>
      </w:pPr>
      <w:r w:rsidRPr="00FA2CA9">
        <w:rPr>
          <w:rFonts w:asciiTheme="minorEastAsia" w:eastAsiaTheme="minorEastAsia" w:hAnsiTheme="minorEastAsia"/>
          <w:sz w:val="28"/>
          <w:szCs w:val="28"/>
        </w:rPr>
        <w:t xml:space="preserve">    针对典型环境光催化材料二氧化钛和氮化碳存在的太阳能利用率不高和光生载流子容易复合的问题，依据半导体能带和表面科学理论，在多项国家自然科学基金等项目的持续资助下，开展高效半导体光催化材料的制备，以及其在环境净化等方面的应用基础研究，取得</w:t>
      </w:r>
      <w:r w:rsidRPr="00FA2CA9">
        <w:rPr>
          <w:rFonts w:asciiTheme="minorEastAsia" w:eastAsiaTheme="minorEastAsia" w:hAnsiTheme="minorEastAsia"/>
          <w:sz w:val="28"/>
          <w:szCs w:val="28"/>
        </w:rPr>
        <w:lastRenderedPageBreak/>
        <w:t>如下主要科学发现：</w:t>
      </w:r>
    </w:p>
    <w:p w:rsidR="00FA2CA9" w:rsidRPr="00FA2CA9" w:rsidRDefault="00FA2CA9" w:rsidP="00FA2CA9">
      <w:pPr>
        <w:adjustRightInd w:val="0"/>
        <w:snapToGrid w:val="0"/>
        <w:spacing w:line="360" w:lineRule="auto"/>
        <w:rPr>
          <w:rFonts w:asciiTheme="minorEastAsia" w:eastAsiaTheme="minorEastAsia" w:hAnsiTheme="minorEastAsia"/>
          <w:sz w:val="28"/>
          <w:szCs w:val="28"/>
        </w:rPr>
      </w:pPr>
      <w:r w:rsidRPr="00FA2CA9">
        <w:rPr>
          <w:rFonts w:asciiTheme="minorEastAsia" w:eastAsiaTheme="minorEastAsia" w:hAnsiTheme="minorEastAsia"/>
          <w:sz w:val="28"/>
          <w:szCs w:val="28"/>
        </w:rPr>
        <w:t xml:space="preserve"> 1、（1）发现TiO2与g-C3N4进行复合时，接触晶面的选择显著影响复合材料的光催化活性，提出了“半导体复合存在晶面效应”这一思想，并通过构建由纳米片组装的TiO2空心纳米盒，利用（101）晶面与g-C3N4的有效复合来大幅度提升TiO2的光催化活性；（2）提出用g-C3N4量子点(CN QDs)敏化金红石相TiO2，极大增强太阳能利用效率并促进界面电子转移，可见光催化空气净化性能显著提升；（3）发现TiO2/g-C3N4复合材料受光激发产生羟基自由基能力显著增强，提出它们之间是通过Z型载流子转移机制（Z-Scheme）而非II型异质结模式进行复合，修正了传统文献对于二者复合模式的错误认识。</w:t>
      </w:r>
    </w:p>
    <w:p w:rsidR="00FA2CA9" w:rsidRPr="00FA2CA9" w:rsidRDefault="00FA2CA9" w:rsidP="00FA2CA9">
      <w:pPr>
        <w:adjustRightInd w:val="0"/>
        <w:snapToGrid w:val="0"/>
        <w:spacing w:line="360" w:lineRule="auto"/>
        <w:rPr>
          <w:rFonts w:asciiTheme="minorEastAsia" w:eastAsiaTheme="minorEastAsia" w:hAnsiTheme="minorEastAsia"/>
          <w:sz w:val="28"/>
          <w:szCs w:val="28"/>
        </w:rPr>
      </w:pPr>
      <w:r w:rsidRPr="00FA2CA9">
        <w:rPr>
          <w:rFonts w:asciiTheme="minorEastAsia" w:eastAsiaTheme="minorEastAsia" w:hAnsiTheme="minorEastAsia"/>
          <w:sz w:val="28"/>
          <w:szCs w:val="28"/>
        </w:rPr>
        <w:t xml:space="preserve"> 2、（1）用简易方法构建了碳点修饰的g-C3N4 (C-dots/g-C3N4)，发现碳点修饰可以加使界面电荷转移（储蓄电子），通过抑制载流子的复合来增强g-C3N4的光催化性能；（2）用非贵金属Bi的等离子体效应，拓展g-C3N4的可见光响应范围和构建内建电场，极大提升g-C3N4可见光催化消除氮氧化物性能。</w:t>
      </w:r>
    </w:p>
    <w:p w:rsidR="00FA2CA9" w:rsidRPr="00FA2CA9" w:rsidRDefault="00FA2CA9" w:rsidP="00FA2CA9">
      <w:pPr>
        <w:adjustRightInd w:val="0"/>
        <w:snapToGrid w:val="0"/>
        <w:spacing w:line="360" w:lineRule="auto"/>
        <w:rPr>
          <w:rFonts w:asciiTheme="minorEastAsia" w:eastAsiaTheme="minorEastAsia" w:hAnsiTheme="minorEastAsia"/>
          <w:sz w:val="28"/>
          <w:szCs w:val="28"/>
        </w:rPr>
      </w:pPr>
      <w:r w:rsidRPr="00FA2CA9">
        <w:rPr>
          <w:rFonts w:asciiTheme="minorEastAsia" w:eastAsiaTheme="minorEastAsia" w:hAnsiTheme="minorEastAsia"/>
          <w:sz w:val="28"/>
          <w:szCs w:val="28"/>
        </w:rPr>
        <w:t xml:space="preserve"> 3、空心结构TiO2因为具有大的比表面积、良好的光吸收性能和气体通透性而成为理想的光催化空气净化材料。我们用氟离子化学诱导自转变法制备了具有分级结构的TiO2空心微球（由空心纳米颗粒组装的空心微球），发现其具有高热稳定性，其锐钛矿到金红石相的热相变温度由传统TiO2的500-600℃急剧提升到1000℃，而表面氟离子的强烈吸附，是抑制其晶粒长大和相变的主要原因，这为TiO2光催化材料在高热环境中的使用提供了可能。</w:t>
      </w:r>
    </w:p>
    <w:p w:rsidR="00FA2CA9" w:rsidRPr="00FA2CA9" w:rsidRDefault="00FA2CA9" w:rsidP="00FA2CA9">
      <w:pPr>
        <w:adjustRightInd w:val="0"/>
        <w:snapToGrid w:val="0"/>
        <w:spacing w:line="360" w:lineRule="auto"/>
        <w:rPr>
          <w:rFonts w:asciiTheme="minorEastAsia" w:eastAsiaTheme="minorEastAsia" w:hAnsiTheme="minorEastAsia"/>
          <w:color w:val="000000"/>
          <w:sz w:val="28"/>
          <w:szCs w:val="28"/>
        </w:rPr>
      </w:pPr>
      <w:r w:rsidRPr="00FA2CA9">
        <w:rPr>
          <w:rFonts w:asciiTheme="minorEastAsia" w:eastAsiaTheme="minorEastAsia" w:hAnsiTheme="minorEastAsia"/>
          <w:sz w:val="28"/>
          <w:szCs w:val="28"/>
        </w:rPr>
        <w:t xml:space="preserve">    项目构建了典型环境光催化材料二氧化钛和氮化碳的结构与其性能间的关系模型，发展了4个复合光催化材料的制备方法，推进了国际光催化材料的研究与应用化进程。项目在Applied Catalysis B: </w:t>
      </w:r>
      <w:r w:rsidRPr="00FA2CA9">
        <w:rPr>
          <w:rFonts w:asciiTheme="minorEastAsia" w:eastAsiaTheme="minorEastAsia" w:hAnsiTheme="minorEastAsia"/>
          <w:sz w:val="28"/>
          <w:szCs w:val="28"/>
        </w:rPr>
        <w:lastRenderedPageBreak/>
        <w:t>Environmental和 Chinese Journal of Catalsis等国际主流学术期刊上发表SCI论文60余篇，5篇代表性论文被Chemical Reviewers和 Chemcial Society Reviewers等SCI他引604次，单篇最高SCI他引271次，包括国际著名光催化专家W. Choi等多位本领域国际权威学者引用本项目工作，并给予充分肯定和高度评价。第一完成人吕康乐多次在国际国内学术会议上做邀请报告，依托本项目入选教育部“新世</w:t>
      </w:r>
      <w:bookmarkStart w:id="0" w:name="_GoBack"/>
      <w:bookmarkEnd w:id="0"/>
      <w:r w:rsidRPr="00FA2CA9">
        <w:rPr>
          <w:rFonts w:asciiTheme="minorEastAsia" w:eastAsiaTheme="minorEastAsia" w:hAnsiTheme="minorEastAsia"/>
          <w:sz w:val="28"/>
          <w:szCs w:val="28"/>
        </w:rPr>
        <w:t xml:space="preserve">纪优秀人才支持计划”和国家民委“领军人才支持”，并获聘中国感光学会光催化专业委员会委员、国际SCI期刊Chinese </w:t>
      </w:r>
      <w:r w:rsidRPr="00FA2CA9">
        <w:rPr>
          <w:rFonts w:asciiTheme="minorEastAsia" w:eastAsiaTheme="minorEastAsia" w:hAnsiTheme="minorEastAsia"/>
          <w:color w:val="000000"/>
          <w:sz w:val="28"/>
          <w:szCs w:val="28"/>
        </w:rPr>
        <w:t>Journal of Catalysis青年编委和Frontiers in Chemistry副编辑等职。</w:t>
      </w:r>
    </w:p>
    <w:p w:rsidR="00FA2CA9" w:rsidRPr="00FA2CA9" w:rsidRDefault="00FA2CA9" w:rsidP="00FA2CA9">
      <w:pPr>
        <w:adjustRightInd w:val="0"/>
        <w:snapToGrid w:val="0"/>
        <w:spacing w:line="360" w:lineRule="auto"/>
        <w:rPr>
          <w:rFonts w:asciiTheme="minorEastAsia" w:eastAsiaTheme="minorEastAsia" w:hAnsiTheme="minorEastAsia" w:hint="eastAsia"/>
          <w:color w:val="000000"/>
          <w:sz w:val="28"/>
          <w:szCs w:val="28"/>
        </w:rPr>
      </w:pPr>
    </w:p>
    <w:p w:rsidR="00FA2CA9" w:rsidRPr="00FA2CA9" w:rsidRDefault="00FA2CA9" w:rsidP="00FA2CA9">
      <w:pPr>
        <w:adjustRightInd w:val="0"/>
        <w:snapToGrid w:val="0"/>
        <w:spacing w:line="360" w:lineRule="auto"/>
        <w:rPr>
          <w:rFonts w:asciiTheme="minorEastAsia" w:eastAsiaTheme="minorEastAsia" w:hAnsiTheme="minorEastAsia" w:hint="eastAsia"/>
          <w:color w:val="000000"/>
          <w:sz w:val="28"/>
          <w:szCs w:val="28"/>
        </w:rPr>
      </w:pPr>
      <w:r w:rsidRPr="00FA2CA9">
        <w:rPr>
          <w:rFonts w:asciiTheme="minorEastAsia" w:eastAsiaTheme="minorEastAsia" w:hAnsiTheme="minorEastAsia" w:hint="eastAsia"/>
          <w:color w:val="000000"/>
          <w:sz w:val="28"/>
          <w:szCs w:val="28"/>
        </w:rPr>
        <w:t>代表性论文专著目录：</w:t>
      </w:r>
    </w:p>
    <w:p w:rsidR="00FA2CA9" w:rsidRPr="00FA2CA9" w:rsidRDefault="00FA2CA9" w:rsidP="00FA2CA9">
      <w:pPr>
        <w:numPr>
          <w:ilvl w:val="0"/>
          <w:numId w:val="1"/>
        </w:numPr>
        <w:adjustRightInd w:val="0"/>
        <w:snapToGrid w:val="0"/>
        <w:spacing w:line="360" w:lineRule="auto"/>
        <w:rPr>
          <w:rFonts w:asciiTheme="minorEastAsia" w:eastAsiaTheme="minorEastAsia" w:hAnsiTheme="minorEastAsia"/>
          <w:color w:val="000000"/>
          <w:sz w:val="28"/>
          <w:szCs w:val="28"/>
        </w:rPr>
      </w:pPr>
      <w:r w:rsidRPr="00FA2CA9">
        <w:rPr>
          <w:rFonts w:asciiTheme="minorEastAsia" w:eastAsiaTheme="minorEastAsia" w:hAnsiTheme="minorEastAsia"/>
          <w:color w:val="000000"/>
          <w:sz w:val="28"/>
          <w:szCs w:val="28"/>
        </w:rPr>
        <w:t xml:space="preserve">Ze’ai Huang, Qiong Sun, </w:t>
      </w:r>
      <w:r w:rsidRPr="00FA2CA9">
        <w:rPr>
          <w:rFonts w:asciiTheme="minorEastAsia" w:eastAsiaTheme="minorEastAsia" w:hAnsiTheme="minorEastAsia"/>
          <w:b/>
          <w:color w:val="000000"/>
          <w:sz w:val="28"/>
          <w:szCs w:val="28"/>
        </w:rPr>
        <w:t>Kangle Lv*</w:t>
      </w:r>
      <w:r w:rsidRPr="00FA2CA9">
        <w:rPr>
          <w:rFonts w:asciiTheme="minorEastAsia" w:eastAsiaTheme="minorEastAsia" w:hAnsiTheme="minorEastAsia"/>
          <w:color w:val="000000"/>
          <w:sz w:val="28"/>
          <w:szCs w:val="28"/>
        </w:rPr>
        <w:t>, Zehui Zhang, Mei Li, Bing Li, Effect of contact interface between TiO</w:t>
      </w:r>
      <w:r w:rsidRPr="00FA2CA9">
        <w:rPr>
          <w:rFonts w:asciiTheme="minorEastAsia" w:eastAsiaTheme="minorEastAsia" w:hAnsiTheme="minorEastAsia"/>
          <w:color w:val="000000"/>
          <w:sz w:val="28"/>
          <w:szCs w:val="28"/>
          <w:vertAlign w:val="subscript"/>
        </w:rPr>
        <w:t>2</w:t>
      </w:r>
      <w:r w:rsidRPr="00FA2CA9">
        <w:rPr>
          <w:rFonts w:asciiTheme="minorEastAsia" w:eastAsiaTheme="minorEastAsia" w:hAnsiTheme="minorEastAsia"/>
          <w:color w:val="000000"/>
          <w:sz w:val="28"/>
          <w:szCs w:val="28"/>
        </w:rPr>
        <w:t xml:space="preserve"> and g-C</w:t>
      </w:r>
      <w:r w:rsidRPr="00FA2CA9">
        <w:rPr>
          <w:rFonts w:asciiTheme="minorEastAsia" w:eastAsiaTheme="minorEastAsia" w:hAnsiTheme="minorEastAsia"/>
          <w:color w:val="000000"/>
          <w:sz w:val="28"/>
          <w:szCs w:val="28"/>
          <w:vertAlign w:val="subscript"/>
        </w:rPr>
        <w:t>3</w:t>
      </w:r>
      <w:r w:rsidRPr="00FA2CA9">
        <w:rPr>
          <w:rFonts w:asciiTheme="minorEastAsia" w:eastAsiaTheme="minorEastAsia" w:hAnsiTheme="minorEastAsia"/>
          <w:color w:val="000000"/>
          <w:sz w:val="28"/>
          <w:szCs w:val="28"/>
        </w:rPr>
        <w:t>N</w:t>
      </w:r>
      <w:r w:rsidRPr="00FA2CA9">
        <w:rPr>
          <w:rFonts w:asciiTheme="minorEastAsia" w:eastAsiaTheme="minorEastAsia" w:hAnsiTheme="minorEastAsia"/>
          <w:color w:val="000000"/>
          <w:sz w:val="28"/>
          <w:szCs w:val="28"/>
          <w:vertAlign w:val="subscript"/>
        </w:rPr>
        <w:t>4</w:t>
      </w:r>
      <w:r w:rsidRPr="00FA2CA9">
        <w:rPr>
          <w:rFonts w:asciiTheme="minorEastAsia" w:eastAsiaTheme="minorEastAsia" w:hAnsiTheme="minorEastAsia"/>
          <w:color w:val="000000"/>
          <w:sz w:val="28"/>
          <w:szCs w:val="28"/>
        </w:rPr>
        <w:t xml:space="preserve"> on the photoreactivity of g-C</w:t>
      </w:r>
      <w:r w:rsidRPr="00FA2CA9">
        <w:rPr>
          <w:rFonts w:asciiTheme="minorEastAsia" w:eastAsiaTheme="minorEastAsia" w:hAnsiTheme="minorEastAsia"/>
          <w:color w:val="000000"/>
          <w:sz w:val="28"/>
          <w:szCs w:val="28"/>
          <w:vertAlign w:val="subscript"/>
        </w:rPr>
        <w:t>3</w:t>
      </w:r>
      <w:r w:rsidRPr="00FA2CA9">
        <w:rPr>
          <w:rFonts w:asciiTheme="minorEastAsia" w:eastAsiaTheme="minorEastAsia" w:hAnsiTheme="minorEastAsia"/>
          <w:color w:val="000000"/>
          <w:sz w:val="28"/>
          <w:szCs w:val="28"/>
        </w:rPr>
        <w:t>N</w:t>
      </w:r>
      <w:r w:rsidRPr="00FA2CA9">
        <w:rPr>
          <w:rFonts w:asciiTheme="minorEastAsia" w:eastAsiaTheme="minorEastAsia" w:hAnsiTheme="minorEastAsia"/>
          <w:color w:val="000000"/>
          <w:sz w:val="28"/>
          <w:szCs w:val="28"/>
          <w:vertAlign w:val="subscript"/>
        </w:rPr>
        <w:t>4</w:t>
      </w:r>
      <w:r w:rsidRPr="00FA2CA9">
        <w:rPr>
          <w:rFonts w:asciiTheme="minorEastAsia" w:eastAsiaTheme="minorEastAsia" w:hAnsiTheme="minorEastAsia"/>
          <w:color w:val="000000"/>
          <w:sz w:val="28"/>
          <w:szCs w:val="28"/>
        </w:rPr>
        <w:t>/TiO</w:t>
      </w:r>
      <w:r w:rsidRPr="00FA2CA9">
        <w:rPr>
          <w:rFonts w:asciiTheme="minorEastAsia" w:eastAsiaTheme="minorEastAsia" w:hAnsiTheme="minorEastAsia"/>
          <w:color w:val="000000"/>
          <w:sz w:val="28"/>
          <w:szCs w:val="28"/>
          <w:vertAlign w:val="subscript"/>
        </w:rPr>
        <w:t>2</w:t>
      </w:r>
      <w:r w:rsidRPr="00FA2CA9">
        <w:rPr>
          <w:rFonts w:asciiTheme="minorEastAsia" w:eastAsiaTheme="minorEastAsia" w:hAnsiTheme="minorEastAsia"/>
          <w:color w:val="000000"/>
          <w:sz w:val="28"/>
          <w:szCs w:val="28"/>
        </w:rPr>
        <w:t xml:space="preserve"> photocatalyst: (001) </w:t>
      </w:r>
      <w:r w:rsidRPr="00FA2CA9">
        <w:rPr>
          <w:rFonts w:asciiTheme="minorEastAsia" w:eastAsiaTheme="minorEastAsia" w:hAnsiTheme="minorEastAsia"/>
          <w:i/>
          <w:color w:val="000000"/>
          <w:sz w:val="28"/>
          <w:szCs w:val="28"/>
        </w:rPr>
        <w:t>vs</w:t>
      </w:r>
      <w:r w:rsidRPr="00FA2CA9">
        <w:rPr>
          <w:rFonts w:asciiTheme="minorEastAsia" w:eastAsiaTheme="minorEastAsia" w:hAnsiTheme="minorEastAsia"/>
          <w:color w:val="000000"/>
          <w:sz w:val="28"/>
          <w:szCs w:val="28"/>
        </w:rPr>
        <w:t xml:space="preserve"> (101) facets of TiO</w:t>
      </w:r>
      <w:r w:rsidRPr="00FA2CA9">
        <w:rPr>
          <w:rFonts w:asciiTheme="minorEastAsia" w:eastAsiaTheme="minorEastAsia" w:hAnsiTheme="minorEastAsia"/>
          <w:color w:val="000000"/>
          <w:sz w:val="28"/>
          <w:szCs w:val="28"/>
          <w:vertAlign w:val="subscript"/>
        </w:rPr>
        <w:t>2</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i/>
          <w:color w:val="000000"/>
          <w:sz w:val="28"/>
          <w:szCs w:val="28"/>
        </w:rPr>
        <w:t>Appl. Catal. B: Environ.</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b/>
          <w:color w:val="000000"/>
          <w:sz w:val="28"/>
          <w:szCs w:val="28"/>
        </w:rPr>
        <w:t>2015</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i/>
          <w:color w:val="000000"/>
          <w:sz w:val="28"/>
          <w:szCs w:val="28"/>
        </w:rPr>
        <w:t>164</w:t>
      </w:r>
      <w:r w:rsidRPr="00FA2CA9">
        <w:rPr>
          <w:rFonts w:asciiTheme="minorEastAsia" w:eastAsiaTheme="minorEastAsia" w:hAnsiTheme="minorEastAsia"/>
          <w:color w:val="000000"/>
          <w:sz w:val="28"/>
          <w:szCs w:val="28"/>
        </w:rPr>
        <w:t xml:space="preserve">, 420-427. </w:t>
      </w:r>
    </w:p>
    <w:p w:rsidR="00FA2CA9" w:rsidRPr="00FA2CA9" w:rsidRDefault="00FA2CA9" w:rsidP="00FA2CA9">
      <w:pPr>
        <w:numPr>
          <w:ilvl w:val="0"/>
          <w:numId w:val="1"/>
        </w:numPr>
        <w:adjustRightInd w:val="0"/>
        <w:snapToGrid w:val="0"/>
        <w:spacing w:line="360" w:lineRule="auto"/>
        <w:rPr>
          <w:rFonts w:asciiTheme="minorEastAsia" w:eastAsiaTheme="minorEastAsia" w:hAnsiTheme="minorEastAsia"/>
          <w:color w:val="000000"/>
          <w:sz w:val="28"/>
          <w:szCs w:val="28"/>
        </w:rPr>
      </w:pPr>
      <w:r w:rsidRPr="00FA2CA9">
        <w:rPr>
          <w:rFonts w:asciiTheme="minorEastAsia" w:eastAsiaTheme="minorEastAsia" w:hAnsiTheme="minorEastAsia"/>
          <w:color w:val="000000"/>
          <w:sz w:val="28"/>
          <w:szCs w:val="28"/>
        </w:rPr>
        <w:t xml:space="preserve">Yuhan Li, </w:t>
      </w:r>
      <w:r w:rsidRPr="00FA2CA9">
        <w:rPr>
          <w:rFonts w:asciiTheme="minorEastAsia" w:eastAsiaTheme="minorEastAsia" w:hAnsiTheme="minorEastAsia"/>
          <w:b/>
          <w:color w:val="000000"/>
          <w:sz w:val="28"/>
          <w:szCs w:val="28"/>
        </w:rPr>
        <w:t>Kangle Lv*</w:t>
      </w:r>
      <w:r w:rsidRPr="00FA2CA9">
        <w:rPr>
          <w:rFonts w:asciiTheme="minorEastAsia" w:eastAsiaTheme="minorEastAsia" w:hAnsiTheme="minorEastAsia"/>
          <w:color w:val="000000"/>
          <w:sz w:val="28"/>
          <w:szCs w:val="28"/>
        </w:rPr>
        <w:t xml:space="preserve">, Wingkei Ho*, Fan Dong, Xiaofeng Wu, Yang Xia, Hybridization of </w:t>
      </w:r>
      <w:r w:rsidRPr="00FA2CA9">
        <w:rPr>
          <w:rFonts w:asciiTheme="minorEastAsia" w:eastAsiaTheme="minorEastAsia" w:hAnsiTheme="minorEastAsia" w:hint="eastAsia"/>
          <w:color w:val="000000"/>
          <w:sz w:val="28"/>
          <w:szCs w:val="28"/>
        </w:rPr>
        <w:t>r</w:t>
      </w:r>
      <w:r w:rsidRPr="00FA2CA9">
        <w:rPr>
          <w:rFonts w:asciiTheme="minorEastAsia" w:eastAsiaTheme="minorEastAsia" w:hAnsiTheme="minorEastAsia"/>
          <w:color w:val="000000"/>
          <w:sz w:val="28"/>
          <w:szCs w:val="28"/>
        </w:rPr>
        <w:t>utile TiO</w:t>
      </w:r>
      <w:r w:rsidRPr="00FA2CA9">
        <w:rPr>
          <w:rFonts w:asciiTheme="minorEastAsia" w:eastAsiaTheme="minorEastAsia" w:hAnsiTheme="minorEastAsia"/>
          <w:color w:val="000000"/>
          <w:sz w:val="28"/>
          <w:szCs w:val="28"/>
          <w:vertAlign w:val="subscript"/>
        </w:rPr>
        <w:t>2</w:t>
      </w:r>
      <w:r w:rsidRPr="00FA2CA9">
        <w:rPr>
          <w:rFonts w:asciiTheme="minorEastAsia" w:eastAsiaTheme="minorEastAsia" w:hAnsiTheme="minorEastAsia"/>
          <w:color w:val="000000"/>
          <w:sz w:val="28"/>
          <w:szCs w:val="28"/>
        </w:rPr>
        <w:t xml:space="preserve"> (rTiO</w:t>
      </w:r>
      <w:r w:rsidRPr="00FA2CA9">
        <w:rPr>
          <w:rFonts w:asciiTheme="minorEastAsia" w:eastAsiaTheme="minorEastAsia" w:hAnsiTheme="minorEastAsia"/>
          <w:color w:val="000000"/>
          <w:sz w:val="28"/>
          <w:szCs w:val="28"/>
          <w:vertAlign w:val="subscript"/>
        </w:rPr>
        <w:t>2</w:t>
      </w:r>
      <w:r w:rsidRPr="00FA2CA9">
        <w:rPr>
          <w:rFonts w:asciiTheme="minorEastAsia" w:eastAsiaTheme="minorEastAsia" w:hAnsiTheme="minorEastAsia"/>
          <w:color w:val="000000"/>
          <w:sz w:val="28"/>
          <w:szCs w:val="28"/>
        </w:rPr>
        <w:t>) with g-C</w:t>
      </w:r>
      <w:r w:rsidRPr="00FA2CA9">
        <w:rPr>
          <w:rFonts w:asciiTheme="minorEastAsia" w:eastAsiaTheme="minorEastAsia" w:hAnsiTheme="minorEastAsia"/>
          <w:color w:val="000000"/>
          <w:sz w:val="28"/>
          <w:szCs w:val="28"/>
          <w:vertAlign w:val="subscript"/>
        </w:rPr>
        <w:t>3</w:t>
      </w:r>
      <w:r w:rsidRPr="00FA2CA9">
        <w:rPr>
          <w:rFonts w:asciiTheme="minorEastAsia" w:eastAsiaTheme="minorEastAsia" w:hAnsiTheme="minorEastAsia"/>
          <w:color w:val="000000"/>
          <w:sz w:val="28"/>
          <w:szCs w:val="28"/>
        </w:rPr>
        <w:t>N</w:t>
      </w:r>
      <w:r w:rsidRPr="00FA2CA9">
        <w:rPr>
          <w:rFonts w:asciiTheme="minorEastAsia" w:eastAsiaTheme="minorEastAsia" w:hAnsiTheme="minorEastAsia"/>
          <w:color w:val="000000"/>
          <w:sz w:val="28"/>
          <w:szCs w:val="28"/>
          <w:vertAlign w:val="subscript"/>
        </w:rPr>
        <w:t>4</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hint="eastAsia"/>
          <w:color w:val="000000"/>
          <w:sz w:val="28"/>
          <w:szCs w:val="28"/>
        </w:rPr>
        <w:t>q</w:t>
      </w:r>
      <w:r w:rsidRPr="00FA2CA9">
        <w:rPr>
          <w:rFonts w:asciiTheme="minorEastAsia" w:eastAsiaTheme="minorEastAsia" w:hAnsiTheme="minorEastAsia"/>
          <w:color w:val="000000"/>
          <w:sz w:val="28"/>
          <w:szCs w:val="28"/>
        </w:rPr>
        <w:t xml:space="preserve">uantum </w:t>
      </w:r>
      <w:r w:rsidRPr="00FA2CA9">
        <w:rPr>
          <w:rFonts w:asciiTheme="minorEastAsia" w:eastAsiaTheme="minorEastAsia" w:hAnsiTheme="minorEastAsia" w:hint="eastAsia"/>
          <w:color w:val="000000"/>
          <w:sz w:val="28"/>
          <w:szCs w:val="28"/>
        </w:rPr>
        <w:t>d</w:t>
      </w:r>
      <w:r w:rsidRPr="00FA2CA9">
        <w:rPr>
          <w:rFonts w:asciiTheme="minorEastAsia" w:eastAsiaTheme="minorEastAsia" w:hAnsiTheme="minorEastAsia"/>
          <w:color w:val="000000"/>
          <w:sz w:val="28"/>
          <w:szCs w:val="28"/>
        </w:rPr>
        <w:t xml:space="preserve">ots (CN QDs): An </w:t>
      </w:r>
      <w:r w:rsidRPr="00FA2CA9">
        <w:rPr>
          <w:rFonts w:asciiTheme="minorEastAsia" w:eastAsiaTheme="minorEastAsia" w:hAnsiTheme="minorEastAsia" w:hint="eastAsia"/>
          <w:color w:val="000000"/>
          <w:sz w:val="28"/>
          <w:szCs w:val="28"/>
        </w:rPr>
        <w:t>e</w:t>
      </w:r>
      <w:r w:rsidRPr="00FA2CA9">
        <w:rPr>
          <w:rFonts w:asciiTheme="minorEastAsia" w:eastAsiaTheme="minorEastAsia" w:hAnsiTheme="minorEastAsia"/>
          <w:color w:val="000000"/>
          <w:sz w:val="28"/>
          <w:szCs w:val="28"/>
        </w:rPr>
        <w:t xml:space="preserve">fficient </w:t>
      </w:r>
      <w:r w:rsidRPr="00FA2CA9">
        <w:rPr>
          <w:rFonts w:asciiTheme="minorEastAsia" w:eastAsiaTheme="minorEastAsia" w:hAnsiTheme="minorEastAsia" w:hint="eastAsia"/>
          <w:color w:val="000000"/>
          <w:sz w:val="28"/>
          <w:szCs w:val="28"/>
        </w:rPr>
        <w:t>v</w:t>
      </w:r>
      <w:r w:rsidRPr="00FA2CA9">
        <w:rPr>
          <w:rFonts w:asciiTheme="minorEastAsia" w:eastAsiaTheme="minorEastAsia" w:hAnsiTheme="minorEastAsia"/>
          <w:color w:val="000000"/>
          <w:sz w:val="28"/>
          <w:szCs w:val="28"/>
        </w:rPr>
        <w:t xml:space="preserve">isible-light-driven Z-scheme hybridized </w:t>
      </w:r>
      <w:r w:rsidRPr="00FA2CA9">
        <w:rPr>
          <w:rFonts w:asciiTheme="minorEastAsia" w:eastAsiaTheme="minorEastAsia" w:hAnsiTheme="minorEastAsia" w:hint="eastAsia"/>
          <w:color w:val="000000"/>
          <w:sz w:val="28"/>
          <w:szCs w:val="28"/>
        </w:rPr>
        <w:t>p</w:t>
      </w:r>
      <w:r w:rsidRPr="00FA2CA9">
        <w:rPr>
          <w:rFonts w:asciiTheme="minorEastAsia" w:eastAsiaTheme="minorEastAsia" w:hAnsiTheme="minorEastAsia"/>
          <w:color w:val="000000"/>
          <w:sz w:val="28"/>
          <w:szCs w:val="28"/>
        </w:rPr>
        <w:t xml:space="preserve">hotocatalyst. </w:t>
      </w:r>
      <w:r w:rsidRPr="00FA2CA9">
        <w:rPr>
          <w:rFonts w:asciiTheme="minorEastAsia" w:eastAsiaTheme="minorEastAsia" w:hAnsiTheme="minorEastAsia"/>
          <w:i/>
          <w:color w:val="000000"/>
          <w:sz w:val="28"/>
          <w:szCs w:val="28"/>
        </w:rPr>
        <w:t>Appl. Catal. B: Environ.</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b/>
          <w:color w:val="000000"/>
          <w:sz w:val="28"/>
          <w:szCs w:val="28"/>
        </w:rPr>
        <w:t>2017</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i/>
          <w:color w:val="000000"/>
          <w:sz w:val="28"/>
          <w:szCs w:val="28"/>
        </w:rPr>
        <w:t>202</w:t>
      </w:r>
      <w:r w:rsidRPr="00FA2CA9">
        <w:rPr>
          <w:rFonts w:asciiTheme="minorEastAsia" w:eastAsiaTheme="minorEastAsia" w:hAnsiTheme="minorEastAsia"/>
          <w:color w:val="000000"/>
          <w:sz w:val="28"/>
          <w:szCs w:val="28"/>
        </w:rPr>
        <w:t xml:space="preserve">, 611-619. </w:t>
      </w:r>
    </w:p>
    <w:p w:rsidR="00FA2CA9" w:rsidRPr="00FA2CA9" w:rsidRDefault="00FA2CA9" w:rsidP="00FA2CA9">
      <w:pPr>
        <w:numPr>
          <w:ilvl w:val="0"/>
          <w:numId w:val="1"/>
        </w:numPr>
        <w:adjustRightInd w:val="0"/>
        <w:snapToGrid w:val="0"/>
        <w:spacing w:line="360" w:lineRule="auto"/>
        <w:rPr>
          <w:rFonts w:asciiTheme="minorEastAsia" w:eastAsiaTheme="minorEastAsia" w:hAnsiTheme="minorEastAsia"/>
          <w:color w:val="000000"/>
          <w:sz w:val="28"/>
          <w:szCs w:val="28"/>
        </w:rPr>
      </w:pPr>
      <w:r w:rsidRPr="00FA2CA9">
        <w:rPr>
          <w:rFonts w:asciiTheme="minorEastAsia" w:eastAsiaTheme="minorEastAsia" w:hAnsiTheme="minorEastAsia"/>
          <w:color w:val="000000"/>
          <w:sz w:val="28"/>
          <w:szCs w:val="28"/>
        </w:rPr>
        <w:t>Shun Fang, Yang Xia,</w:t>
      </w:r>
      <w:r w:rsidRPr="00FA2CA9">
        <w:rPr>
          <w:rFonts w:asciiTheme="minorEastAsia" w:eastAsiaTheme="minorEastAsia" w:hAnsiTheme="minorEastAsia"/>
          <w:b/>
          <w:color w:val="000000"/>
          <w:sz w:val="28"/>
          <w:szCs w:val="28"/>
        </w:rPr>
        <w:t xml:space="preserve"> Kangle Lv*</w:t>
      </w:r>
      <w:r w:rsidRPr="00FA2CA9">
        <w:rPr>
          <w:rFonts w:asciiTheme="minorEastAsia" w:eastAsiaTheme="minorEastAsia" w:hAnsiTheme="minorEastAsia"/>
          <w:color w:val="000000"/>
          <w:sz w:val="28"/>
          <w:szCs w:val="28"/>
        </w:rPr>
        <w:t>, Qin Li, Jie Sun, Mei Li*, Effect of carbon-dots modification on the structure and photocatalytic activity of g-C</w:t>
      </w:r>
      <w:r w:rsidRPr="00FA2CA9">
        <w:rPr>
          <w:rFonts w:asciiTheme="minorEastAsia" w:eastAsiaTheme="minorEastAsia" w:hAnsiTheme="minorEastAsia"/>
          <w:color w:val="000000"/>
          <w:sz w:val="28"/>
          <w:szCs w:val="28"/>
          <w:vertAlign w:val="subscript"/>
        </w:rPr>
        <w:t>3</w:t>
      </w:r>
      <w:r w:rsidRPr="00FA2CA9">
        <w:rPr>
          <w:rFonts w:asciiTheme="minorEastAsia" w:eastAsiaTheme="minorEastAsia" w:hAnsiTheme="minorEastAsia"/>
          <w:color w:val="000000"/>
          <w:sz w:val="28"/>
          <w:szCs w:val="28"/>
        </w:rPr>
        <w:t>N</w:t>
      </w:r>
      <w:r w:rsidRPr="00FA2CA9">
        <w:rPr>
          <w:rFonts w:asciiTheme="minorEastAsia" w:eastAsiaTheme="minorEastAsia" w:hAnsiTheme="minorEastAsia"/>
          <w:color w:val="000000"/>
          <w:sz w:val="28"/>
          <w:szCs w:val="28"/>
          <w:vertAlign w:val="subscript"/>
        </w:rPr>
        <w:t>4</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i/>
          <w:color w:val="000000"/>
          <w:sz w:val="28"/>
          <w:szCs w:val="28"/>
        </w:rPr>
        <w:t>Appl. Catal. B: Environ</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b/>
          <w:color w:val="000000"/>
          <w:sz w:val="28"/>
          <w:szCs w:val="28"/>
        </w:rPr>
        <w:lastRenderedPageBreak/>
        <w:t>2016</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i/>
          <w:color w:val="000000"/>
          <w:sz w:val="28"/>
          <w:szCs w:val="28"/>
        </w:rPr>
        <w:t>185</w:t>
      </w:r>
      <w:r w:rsidRPr="00FA2CA9">
        <w:rPr>
          <w:rFonts w:asciiTheme="minorEastAsia" w:eastAsiaTheme="minorEastAsia" w:hAnsiTheme="minorEastAsia"/>
          <w:color w:val="000000"/>
          <w:sz w:val="28"/>
          <w:szCs w:val="28"/>
        </w:rPr>
        <w:t xml:space="preserve">, 225-232. </w:t>
      </w:r>
    </w:p>
    <w:p w:rsidR="00FA2CA9" w:rsidRPr="00FA2CA9" w:rsidRDefault="00FA2CA9" w:rsidP="00FA2CA9">
      <w:pPr>
        <w:numPr>
          <w:ilvl w:val="0"/>
          <w:numId w:val="2"/>
        </w:numPr>
        <w:adjustRightInd w:val="0"/>
        <w:snapToGrid w:val="0"/>
        <w:spacing w:line="360" w:lineRule="auto"/>
        <w:rPr>
          <w:rFonts w:asciiTheme="minorEastAsia" w:eastAsiaTheme="minorEastAsia" w:hAnsiTheme="minorEastAsia" w:hint="eastAsia"/>
          <w:color w:val="000000"/>
          <w:sz w:val="28"/>
          <w:szCs w:val="28"/>
        </w:rPr>
      </w:pPr>
      <w:r w:rsidRPr="00FA2CA9">
        <w:rPr>
          <w:rFonts w:asciiTheme="minorEastAsia" w:eastAsiaTheme="minorEastAsia" w:hAnsiTheme="minorEastAsia"/>
          <w:color w:val="000000"/>
          <w:sz w:val="28"/>
          <w:szCs w:val="28"/>
        </w:rPr>
        <w:t xml:space="preserve">Yuhan Li, </w:t>
      </w:r>
      <w:r w:rsidRPr="00FA2CA9">
        <w:rPr>
          <w:rFonts w:asciiTheme="minorEastAsia" w:eastAsiaTheme="minorEastAsia" w:hAnsiTheme="minorEastAsia"/>
          <w:b/>
          <w:color w:val="000000"/>
          <w:sz w:val="28"/>
          <w:szCs w:val="28"/>
        </w:rPr>
        <w:t>Kangle Lv*</w:t>
      </w:r>
      <w:r w:rsidRPr="00FA2CA9">
        <w:rPr>
          <w:rFonts w:asciiTheme="minorEastAsia" w:eastAsiaTheme="minorEastAsia" w:hAnsiTheme="minorEastAsia"/>
          <w:color w:val="000000"/>
          <w:sz w:val="28"/>
          <w:szCs w:val="28"/>
        </w:rPr>
        <w:t xml:space="preserve">, WingKei Ho*, Zaiwang Zhao, Yu Huang, Enhanced visible-light photo-oxidation of nitric oxide using bismuth-coupled graphitic carbon nitride composite heterostructures. </w:t>
      </w:r>
      <w:r w:rsidRPr="00FA2CA9">
        <w:rPr>
          <w:rFonts w:asciiTheme="minorEastAsia" w:eastAsiaTheme="minorEastAsia" w:hAnsiTheme="minorEastAsia"/>
          <w:i/>
          <w:color w:val="000000"/>
          <w:sz w:val="28"/>
          <w:szCs w:val="28"/>
        </w:rPr>
        <w:t xml:space="preserve">Chin. J. Catal. </w:t>
      </w:r>
      <w:r w:rsidRPr="00FA2CA9">
        <w:rPr>
          <w:rFonts w:asciiTheme="minorEastAsia" w:eastAsiaTheme="minorEastAsia" w:hAnsiTheme="minorEastAsia"/>
          <w:b/>
          <w:color w:val="000000"/>
          <w:sz w:val="28"/>
          <w:szCs w:val="28"/>
        </w:rPr>
        <w:t>2017</w:t>
      </w:r>
      <w:r w:rsidRPr="00FA2CA9">
        <w:rPr>
          <w:rFonts w:asciiTheme="minorEastAsia" w:eastAsiaTheme="minorEastAsia" w:hAnsiTheme="minorEastAsia"/>
          <w:color w:val="000000"/>
          <w:sz w:val="28"/>
          <w:szCs w:val="28"/>
        </w:rPr>
        <w:t>, 38, 321-329. FEB 2017.</w:t>
      </w:r>
    </w:p>
    <w:p w:rsidR="00FA2CA9" w:rsidRPr="00FA2CA9" w:rsidRDefault="00FA2CA9" w:rsidP="00FA2CA9">
      <w:pPr>
        <w:numPr>
          <w:ilvl w:val="0"/>
          <w:numId w:val="2"/>
        </w:numPr>
        <w:adjustRightInd w:val="0"/>
        <w:snapToGrid w:val="0"/>
        <w:spacing w:line="360" w:lineRule="auto"/>
        <w:rPr>
          <w:rFonts w:asciiTheme="minorEastAsia" w:eastAsiaTheme="minorEastAsia" w:hAnsiTheme="minorEastAsia"/>
          <w:color w:val="000000"/>
          <w:sz w:val="28"/>
          <w:szCs w:val="28"/>
        </w:rPr>
      </w:pPr>
      <w:r w:rsidRPr="00FA2CA9">
        <w:rPr>
          <w:rFonts w:asciiTheme="minorEastAsia" w:eastAsiaTheme="minorEastAsia" w:hAnsiTheme="minorEastAsia"/>
          <w:color w:val="000000"/>
          <w:sz w:val="28"/>
          <w:szCs w:val="28"/>
        </w:rPr>
        <w:t>Li Liang, Kaining Li, Kangle Lv*, Wingkei Ho*, Youyu Duan, Highly photoreactive TiO</w:t>
      </w:r>
      <w:r w:rsidRPr="00FA2CA9">
        <w:rPr>
          <w:rFonts w:asciiTheme="minorEastAsia" w:eastAsiaTheme="minorEastAsia" w:hAnsiTheme="minorEastAsia"/>
          <w:color w:val="000000"/>
          <w:sz w:val="28"/>
          <w:szCs w:val="28"/>
          <w:vertAlign w:val="subscript"/>
        </w:rPr>
        <w:t>2</w:t>
      </w:r>
      <w:r w:rsidRPr="00FA2CA9">
        <w:rPr>
          <w:rFonts w:asciiTheme="minorEastAsia" w:eastAsiaTheme="minorEastAsia" w:hAnsiTheme="minorEastAsia"/>
          <w:color w:val="000000"/>
          <w:sz w:val="28"/>
          <w:szCs w:val="28"/>
        </w:rPr>
        <w:t xml:space="preserve"> hollow microspheres with super thermal stability for acetone oxidation, </w:t>
      </w:r>
      <w:r w:rsidRPr="00FA2CA9">
        <w:rPr>
          <w:rFonts w:asciiTheme="minorEastAsia" w:eastAsiaTheme="minorEastAsia" w:hAnsiTheme="minorEastAsia"/>
          <w:i/>
          <w:color w:val="000000"/>
          <w:sz w:val="28"/>
          <w:szCs w:val="28"/>
        </w:rPr>
        <w:t>Chin. J. Catal.</w:t>
      </w:r>
      <w:r w:rsidRPr="00FA2CA9">
        <w:rPr>
          <w:rFonts w:asciiTheme="minorEastAsia" w:eastAsiaTheme="minorEastAsia" w:hAnsiTheme="minorEastAsia"/>
          <w:b/>
          <w:color w:val="000000"/>
          <w:sz w:val="28"/>
          <w:szCs w:val="28"/>
        </w:rPr>
        <w:t xml:space="preserve"> 2017</w:t>
      </w:r>
      <w:r w:rsidRPr="00FA2CA9">
        <w:rPr>
          <w:rFonts w:asciiTheme="minorEastAsia" w:eastAsiaTheme="minorEastAsia" w:hAnsiTheme="minorEastAsia"/>
          <w:color w:val="000000"/>
          <w:sz w:val="28"/>
          <w:szCs w:val="28"/>
        </w:rPr>
        <w:t xml:space="preserve">, </w:t>
      </w:r>
      <w:r w:rsidRPr="00FA2CA9">
        <w:rPr>
          <w:rFonts w:asciiTheme="minorEastAsia" w:eastAsiaTheme="minorEastAsia" w:hAnsiTheme="minorEastAsia"/>
          <w:i/>
          <w:color w:val="000000"/>
          <w:sz w:val="28"/>
          <w:szCs w:val="28"/>
        </w:rPr>
        <w:t>38</w:t>
      </w:r>
      <w:r w:rsidRPr="00FA2CA9">
        <w:rPr>
          <w:rFonts w:asciiTheme="minorEastAsia" w:eastAsiaTheme="minorEastAsia" w:hAnsiTheme="minorEastAsia"/>
          <w:color w:val="000000"/>
          <w:sz w:val="28"/>
          <w:szCs w:val="28"/>
        </w:rPr>
        <w:t>, 2085-2093.</w:t>
      </w:r>
    </w:p>
    <w:p w:rsidR="00FA2CA9" w:rsidRPr="00FA2CA9" w:rsidRDefault="00FA2CA9" w:rsidP="00FA2CA9">
      <w:pPr>
        <w:autoSpaceDE w:val="0"/>
        <w:autoSpaceDN w:val="0"/>
        <w:adjustRightInd w:val="0"/>
        <w:snapToGrid w:val="0"/>
        <w:spacing w:line="360" w:lineRule="auto"/>
        <w:jc w:val="left"/>
        <w:rPr>
          <w:rFonts w:asciiTheme="minorEastAsia" w:eastAsiaTheme="minorEastAsia" w:hAnsiTheme="minorEastAsia" w:hint="eastAsia"/>
          <w:color w:val="000000"/>
          <w:sz w:val="28"/>
          <w:szCs w:val="28"/>
        </w:rPr>
      </w:pPr>
      <w:r w:rsidRPr="00FA2CA9">
        <w:rPr>
          <w:rFonts w:asciiTheme="minorEastAsia" w:eastAsiaTheme="minorEastAsia" w:hAnsiTheme="minorEastAsia" w:hint="eastAsia"/>
          <w:color w:val="000000"/>
          <w:sz w:val="28"/>
          <w:szCs w:val="28"/>
        </w:rPr>
        <w:t>专利：</w:t>
      </w:r>
      <w:r w:rsidRPr="00FA2CA9">
        <w:rPr>
          <w:rFonts w:asciiTheme="minorEastAsia" w:eastAsiaTheme="minorEastAsia" w:hAnsiTheme="minorEastAsia" w:hint="eastAsia"/>
          <w:b/>
          <w:color w:val="000000"/>
          <w:sz w:val="28"/>
          <w:szCs w:val="28"/>
        </w:rPr>
        <w:t>吕康乐</w:t>
      </w:r>
      <w:r w:rsidRPr="00FA2CA9">
        <w:rPr>
          <w:rFonts w:asciiTheme="minorEastAsia" w:eastAsiaTheme="minorEastAsia" w:hAnsiTheme="minorEastAsia" w:hint="eastAsia"/>
          <w:color w:val="000000"/>
          <w:sz w:val="28"/>
          <w:szCs w:val="28"/>
        </w:rPr>
        <w:t>，程金水，方顺，伍晓锋，李玫，李覃，杨昌军，唐和清，</w:t>
      </w:r>
      <w:r w:rsidRPr="00FA2CA9">
        <w:rPr>
          <w:rFonts w:asciiTheme="minorEastAsia" w:eastAsiaTheme="minorEastAsia" w:hAnsiTheme="minorEastAsia"/>
          <w:color w:val="000000"/>
          <w:sz w:val="28"/>
          <w:szCs w:val="28"/>
        </w:rPr>
        <w:t>一种</w:t>
      </w:r>
      <w:r w:rsidRPr="00FA2CA9">
        <w:rPr>
          <w:rFonts w:asciiTheme="minorEastAsia" w:eastAsiaTheme="minorEastAsia" w:hAnsiTheme="minorEastAsia" w:hint="eastAsia"/>
          <w:color w:val="000000"/>
          <w:sz w:val="28"/>
          <w:szCs w:val="28"/>
        </w:rPr>
        <w:t>高可见光活性石墨相氮化碳及其应用，授权日期：2019年8月22日，专利号：ZL201710267741.X</w:t>
      </w:r>
    </w:p>
    <w:p w:rsidR="00FA2CA9" w:rsidRPr="00FA2CA9" w:rsidRDefault="00FA2CA9" w:rsidP="00FA2CA9">
      <w:pPr>
        <w:adjustRightInd w:val="0"/>
        <w:snapToGrid w:val="0"/>
        <w:spacing w:line="360" w:lineRule="auto"/>
        <w:rPr>
          <w:rFonts w:asciiTheme="minorEastAsia" w:eastAsiaTheme="minorEastAsia" w:hAnsiTheme="minorEastAsia"/>
          <w:color w:val="000000"/>
          <w:sz w:val="28"/>
          <w:szCs w:val="28"/>
        </w:rPr>
      </w:pPr>
    </w:p>
    <w:p w:rsidR="00FA2CA9" w:rsidRPr="00FA2CA9" w:rsidRDefault="00FA2CA9" w:rsidP="00FA2CA9">
      <w:pPr>
        <w:adjustRightInd w:val="0"/>
        <w:snapToGrid w:val="0"/>
        <w:spacing w:line="360" w:lineRule="auto"/>
        <w:rPr>
          <w:rFonts w:asciiTheme="minorEastAsia" w:eastAsiaTheme="minorEastAsia" w:hAnsiTheme="minorEastAsia" w:hint="eastAsia"/>
          <w:color w:val="000000"/>
          <w:sz w:val="28"/>
          <w:szCs w:val="28"/>
        </w:rPr>
      </w:pPr>
      <w:r w:rsidRPr="00FA2CA9">
        <w:rPr>
          <w:rFonts w:asciiTheme="minorEastAsia" w:eastAsiaTheme="minorEastAsia" w:hAnsiTheme="minorEastAsia" w:hint="eastAsia"/>
          <w:color w:val="000000"/>
          <w:sz w:val="28"/>
          <w:szCs w:val="28"/>
        </w:rPr>
        <w:t>主要完成人（完成单位）：</w:t>
      </w:r>
    </w:p>
    <w:p w:rsidR="00FA2CA9" w:rsidRPr="00FA2CA9" w:rsidRDefault="00FA2CA9" w:rsidP="00FA2CA9">
      <w:pPr>
        <w:numPr>
          <w:ilvl w:val="0"/>
          <w:numId w:val="3"/>
        </w:numPr>
        <w:adjustRightInd w:val="0"/>
        <w:snapToGrid w:val="0"/>
        <w:spacing w:line="360" w:lineRule="auto"/>
        <w:rPr>
          <w:rFonts w:asciiTheme="minorEastAsia" w:eastAsiaTheme="minorEastAsia" w:hAnsiTheme="minorEastAsia" w:hint="eastAsia"/>
          <w:color w:val="000000"/>
          <w:sz w:val="28"/>
          <w:szCs w:val="28"/>
        </w:rPr>
      </w:pPr>
      <w:r w:rsidRPr="00FA2CA9">
        <w:rPr>
          <w:rFonts w:asciiTheme="minorEastAsia" w:eastAsiaTheme="minorEastAsia" w:hAnsiTheme="minorEastAsia" w:hint="eastAsia"/>
          <w:color w:val="000000"/>
          <w:sz w:val="28"/>
          <w:szCs w:val="28"/>
        </w:rPr>
        <w:t>吕康乐（中南民族大学）</w:t>
      </w:r>
    </w:p>
    <w:p w:rsidR="00FA2CA9" w:rsidRPr="00FA2CA9" w:rsidRDefault="00FA2CA9" w:rsidP="00FA2CA9">
      <w:pPr>
        <w:numPr>
          <w:ilvl w:val="0"/>
          <w:numId w:val="3"/>
        </w:numPr>
        <w:adjustRightInd w:val="0"/>
        <w:snapToGrid w:val="0"/>
        <w:spacing w:line="360" w:lineRule="auto"/>
        <w:rPr>
          <w:rFonts w:asciiTheme="minorEastAsia" w:eastAsiaTheme="minorEastAsia" w:hAnsiTheme="minorEastAsia"/>
          <w:color w:val="000000"/>
          <w:sz w:val="28"/>
          <w:szCs w:val="28"/>
        </w:rPr>
      </w:pPr>
      <w:r w:rsidRPr="00FA2CA9">
        <w:rPr>
          <w:rFonts w:asciiTheme="minorEastAsia" w:eastAsiaTheme="minorEastAsia" w:hAnsiTheme="minorEastAsia" w:hint="eastAsia"/>
          <w:color w:val="000000"/>
          <w:sz w:val="28"/>
          <w:szCs w:val="28"/>
        </w:rPr>
        <w:t>何咏基（香港教育大学）</w:t>
      </w:r>
    </w:p>
    <w:p w:rsidR="00FA2CA9" w:rsidRPr="00FA2CA9" w:rsidRDefault="00FA2CA9" w:rsidP="00FA2CA9">
      <w:pPr>
        <w:numPr>
          <w:ilvl w:val="0"/>
          <w:numId w:val="3"/>
        </w:numPr>
        <w:adjustRightInd w:val="0"/>
        <w:snapToGrid w:val="0"/>
        <w:spacing w:line="360" w:lineRule="auto"/>
        <w:rPr>
          <w:rFonts w:asciiTheme="minorEastAsia" w:eastAsiaTheme="minorEastAsia" w:hAnsiTheme="minorEastAsia"/>
          <w:color w:val="000000"/>
          <w:sz w:val="28"/>
          <w:szCs w:val="28"/>
        </w:rPr>
      </w:pPr>
      <w:r w:rsidRPr="00FA2CA9">
        <w:rPr>
          <w:rFonts w:asciiTheme="minorEastAsia" w:eastAsiaTheme="minorEastAsia" w:hAnsiTheme="minorEastAsia" w:hint="eastAsia"/>
          <w:color w:val="000000"/>
          <w:sz w:val="28"/>
          <w:szCs w:val="28"/>
        </w:rPr>
        <w:t>李宇涵（香港教育大学）</w:t>
      </w:r>
    </w:p>
    <w:p w:rsidR="00FA2CA9" w:rsidRPr="00FA2CA9" w:rsidRDefault="00FA2CA9" w:rsidP="00FA2CA9">
      <w:pPr>
        <w:numPr>
          <w:ilvl w:val="0"/>
          <w:numId w:val="3"/>
        </w:numPr>
        <w:adjustRightInd w:val="0"/>
        <w:snapToGrid w:val="0"/>
        <w:spacing w:line="360" w:lineRule="auto"/>
        <w:rPr>
          <w:rFonts w:asciiTheme="minorEastAsia" w:eastAsiaTheme="minorEastAsia" w:hAnsiTheme="minorEastAsia"/>
          <w:color w:val="000000"/>
          <w:sz w:val="28"/>
          <w:szCs w:val="28"/>
        </w:rPr>
      </w:pPr>
      <w:r w:rsidRPr="00FA2CA9">
        <w:rPr>
          <w:rFonts w:asciiTheme="minorEastAsia" w:eastAsiaTheme="minorEastAsia" w:hAnsiTheme="minorEastAsia" w:hint="eastAsia"/>
          <w:color w:val="000000"/>
          <w:sz w:val="28"/>
          <w:szCs w:val="28"/>
        </w:rPr>
        <w:t>黄泽皑（中南民族大学）</w:t>
      </w:r>
    </w:p>
    <w:p w:rsidR="00FA2CA9" w:rsidRPr="00FA2CA9" w:rsidRDefault="00FA2CA9" w:rsidP="00FA2CA9">
      <w:pPr>
        <w:numPr>
          <w:ilvl w:val="0"/>
          <w:numId w:val="3"/>
        </w:numPr>
        <w:adjustRightInd w:val="0"/>
        <w:snapToGrid w:val="0"/>
        <w:spacing w:line="360" w:lineRule="auto"/>
        <w:rPr>
          <w:rFonts w:asciiTheme="minorEastAsia" w:eastAsiaTheme="minorEastAsia" w:hAnsiTheme="minorEastAsia"/>
          <w:color w:val="000000"/>
          <w:sz w:val="28"/>
          <w:szCs w:val="28"/>
        </w:rPr>
      </w:pPr>
      <w:r w:rsidRPr="00FA2CA9">
        <w:rPr>
          <w:rFonts w:asciiTheme="minorEastAsia" w:eastAsiaTheme="minorEastAsia" w:hAnsiTheme="minorEastAsia" w:hint="eastAsia"/>
          <w:color w:val="000000"/>
          <w:sz w:val="28"/>
          <w:szCs w:val="28"/>
        </w:rPr>
        <w:t>方顺（中南民族大学）</w:t>
      </w:r>
    </w:p>
    <w:p w:rsidR="00FA2CA9" w:rsidRPr="00FA2CA9" w:rsidRDefault="00FA2CA9" w:rsidP="00FA2CA9">
      <w:pPr>
        <w:adjustRightInd w:val="0"/>
        <w:snapToGrid w:val="0"/>
        <w:spacing w:line="360" w:lineRule="auto"/>
        <w:rPr>
          <w:rFonts w:asciiTheme="minorEastAsia" w:eastAsiaTheme="minorEastAsia" w:hAnsiTheme="minorEastAsia" w:hint="eastAsia"/>
          <w:color w:val="000000"/>
          <w:sz w:val="28"/>
          <w:szCs w:val="28"/>
        </w:rPr>
      </w:pPr>
    </w:p>
    <w:p w:rsidR="00FA2CA9" w:rsidRDefault="00FA2CA9" w:rsidP="00FA2CA9">
      <w:pPr>
        <w:adjustRightInd w:val="0"/>
        <w:snapToGrid w:val="0"/>
        <w:spacing w:line="360" w:lineRule="auto"/>
        <w:rPr>
          <w:color w:val="000000"/>
          <w:sz w:val="24"/>
        </w:rPr>
      </w:pPr>
    </w:p>
    <w:p w:rsidR="0098144A" w:rsidRDefault="00EC0E80"/>
    <w:sectPr w:rsidR="0098144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80" w:rsidRDefault="00EC0E80" w:rsidP="00FA2CA9">
      <w:r>
        <w:separator/>
      </w:r>
    </w:p>
  </w:endnote>
  <w:endnote w:type="continuationSeparator" w:id="0">
    <w:p w:rsidR="00EC0E80" w:rsidRDefault="00EC0E80" w:rsidP="00FA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Song-Ligh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80" w:rsidRDefault="00EC0E80" w:rsidP="00FA2CA9">
      <w:r>
        <w:separator/>
      </w:r>
    </w:p>
  </w:footnote>
  <w:footnote w:type="continuationSeparator" w:id="0">
    <w:p w:rsidR="00EC0E80" w:rsidRDefault="00EC0E80" w:rsidP="00FA2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139619"/>
    <w:multiLevelType w:val="singleLevel"/>
    <w:tmpl w:val="98139619"/>
    <w:lvl w:ilvl="0">
      <w:start w:val="4"/>
      <w:numFmt w:val="decimal"/>
      <w:suff w:val="space"/>
      <w:lvlText w:val="%1."/>
      <w:lvlJc w:val="left"/>
    </w:lvl>
  </w:abstractNum>
  <w:abstractNum w:abstractNumId="1">
    <w:nsid w:val="20362129"/>
    <w:multiLevelType w:val="singleLevel"/>
    <w:tmpl w:val="20362129"/>
    <w:lvl w:ilvl="0">
      <w:start w:val="1"/>
      <w:numFmt w:val="decimal"/>
      <w:suff w:val="nothing"/>
      <w:lvlText w:val="%1、"/>
      <w:lvlJc w:val="left"/>
    </w:lvl>
  </w:abstractNum>
  <w:abstractNum w:abstractNumId="2">
    <w:nsid w:val="225A588E"/>
    <w:multiLevelType w:val="singleLevel"/>
    <w:tmpl w:val="225A588E"/>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2F"/>
    <w:rsid w:val="000D502F"/>
    <w:rsid w:val="00456CCF"/>
    <w:rsid w:val="00D44340"/>
    <w:rsid w:val="00EC0E80"/>
    <w:rsid w:val="00FA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5D3546-0795-4B8B-B42A-D19FD823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CA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CA9"/>
    <w:rPr>
      <w:sz w:val="18"/>
      <w:szCs w:val="18"/>
    </w:rPr>
  </w:style>
  <w:style w:type="paragraph" w:styleId="a4">
    <w:name w:val="footer"/>
    <w:basedOn w:val="a"/>
    <w:link w:val="Char0"/>
    <w:uiPriority w:val="99"/>
    <w:unhideWhenUsed/>
    <w:rsid w:val="00FA2CA9"/>
    <w:pPr>
      <w:tabs>
        <w:tab w:val="center" w:pos="4153"/>
        <w:tab w:val="right" w:pos="8306"/>
      </w:tabs>
      <w:snapToGrid w:val="0"/>
      <w:jc w:val="left"/>
    </w:pPr>
    <w:rPr>
      <w:sz w:val="18"/>
      <w:szCs w:val="18"/>
    </w:rPr>
  </w:style>
  <w:style w:type="character" w:customStyle="1" w:styleId="Char0">
    <w:name w:val="页脚 Char"/>
    <w:basedOn w:val="a0"/>
    <w:link w:val="a4"/>
    <w:uiPriority w:val="99"/>
    <w:rsid w:val="00FA2C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2601</Characters>
  <Application>Microsoft Office Word</Application>
  <DocSecurity>0</DocSecurity>
  <Lines>21</Lines>
  <Paragraphs>6</Paragraphs>
  <ScaleCrop>false</ScaleCrop>
  <Company>Microsoft</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sxd</dc:creator>
  <cp:keywords/>
  <dc:description/>
  <cp:lastModifiedBy>sxd</cp:lastModifiedBy>
  <cp:revision>2</cp:revision>
  <dcterms:created xsi:type="dcterms:W3CDTF">2020-05-21T10:51:00Z</dcterms:created>
  <dcterms:modified xsi:type="dcterms:W3CDTF">2020-05-21T10:51:00Z</dcterms:modified>
</cp:coreProperties>
</file>